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8E2" w:rsidRPr="009956B9" w:rsidRDefault="008278E2" w:rsidP="0070173A">
      <w:pPr>
        <w:pStyle w:val="Nadpis1"/>
        <w:rPr>
          <w:sz w:val="36"/>
        </w:rPr>
      </w:pPr>
      <w:r w:rsidRPr="009956B9">
        <w:rPr>
          <w:sz w:val="36"/>
        </w:rPr>
        <w:t xml:space="preserve">Odpisový plán </w:t>
      </w:r>
    </w:p>
    <w:p w:rsidR="008278E2" w:rsidRPr="009956B9" w:rsidRDefault="008278E2" w:rsidP="00CA1DE8">
      <w:pPr>
        <w:pStyle w:val="Odstavecseseznamem"/>
        <w:numPr>
          <w:ilvl w:val="0"/>
          <w:numId w:val="1"/>
        </w:numPr>
        <w:spacing w:after="100" w:afterAutospacing="1" w:line="240" w:lineRule="auto"/>
        <w:outlineLvl w:val="1"/>
        <w:rPr>
          <w:rFonts w:eastAsia="Times New Roman" w:cstheme="minorHAnsi"/>
          <w:b/>
          <w:bCs/>
          <w:sz w:val="32"/>
          <w:szCs w:val="36"/>
          <w:lang w:eastAsia="cs-CZ"/>
        </w:rPr>
      </w:pPr>
      <w:r w:rsidRPr="009956B9">
        <w:rPr>
          <w:rFonts w:eastAsia="Times New Roman" w:cstheme="minorHAnsi"/>
          <w:b/>
          <w:bCs/>
          <w:sz w:val="32"/>
          <w:szCs w:val="36"/>
          <w:lang w:eastAsia="cs-CZ"/>
        </w:rPr>
        <w:t>ZÁKLADNÍ POJMY A JEJICH VYMEZENÍ</w:t>
      </w:r>
    </w:p>
    <w:p w:rsidR="0070173A" w:rsidRPr="0070173A" w:rsidRDefault="0070173A" w:rsidP="0070173A">
      <w:pPr>
        <w:pStyle w:val="Odstavecseseznamem"/>
        <w:spacing w:after="100" w:afterAutospacing="1" w:line="240" w:lineRule="auto"/>
        <w:outlineLvl w:val="1"/>
        <w:rPr>
          <w:rFonts w:eastAsia="Times New Roman" w:cstheme="minorHAnsi"/>
          <w:b/>
          <w:bCs/>
          <w:sz w:val="36"/>
          <w:szCs w:val="36"/>
          <w:lang w:eastAsia="cs-CZ"/>
        </w:rPr>
      </w:pPr>
    </w:p>
    <w:p w:rsidR="00533C34" w:rsidRPr="0070173A" w:rsidRDefault="008278E2" w:rsidP="00533C34">
      <w:pPr>
        <w:pStyle w:val="Odstavecseseznamem"/>
        <w:numPr>
          <w:ilvl w:val="0"/>
          <w:numId w:val="3"/>
        </w:numPr>
        <w:spacing w:after="100" w:afterAutospacing="1" w:line="240" w:lineRule="auto"/>
        <w:jc w:val="both"/>
        <w:rPr>
          <w:rFonts w:eastAsia="Times New Roman" w:cstheme="minorHAnsi"/>
          <w:sz w:val="24"/>
          <w:szCs w:val="24"/>
          <w:lang w:eastAsia="cs-CZ"/>
        </w:rPr>
      </w:pPr>
      <w:r w:rsidRPr="0070173A">
        <w:rPr>
          <w:rFonts w:eastAsia="Times New Roman" w:cstheme="minorHAnsi"/>
          <w:b/>
          <w:bCs/>
          <w:sz w:val="24"/>
          <w:szCs w:val="24"/>
          <w:lang w:eastAsia="cs-CZ"/>
        </w:rPr>
        <w:t>Vstupní cena</w:t>
      </w:r>
      <w:r w:rsidRPr="0070173A">
        <w:rPr>
          <w:rFonts w:eastAsia="Times New Roman" w:cstheme="minorHAnsi"/>
          <w:sz w:val="24"/>
          <w:szCs w:val="24"/>
          <w:lang w:eastAsia="cs-CZ"/>
        </w:rPr>
        <w:t xml:space="preserve"> – Je ocenění majetku na základě ceny </w:t>
      </w:r>
      <w:r w:rsidR="00533C34" w:rsidRPr="0070173A">
        <w:rPr>
          <w:rFonts w:eastAsia="Times New Roman" w:cstheme="minorHAnsi"/>
          <w:sz w:val="24"/>
          <w:szCs w:val="24"/>
          <w:lang w:eastAsia="cs-CZ"/>
        </w:rPr>
        <w:t>pořizovací,</w:t>
      </w:r>
      <w:r w:rsidRPr="0070173A">
        <w:rPr>
          <w:rFonts w:eastAsia="Times New Roman" w:cstheme="minorHAnsi"/>
          <w:sz w:val="24"/>
          <w:szCs w:val="24"/>
          <w:lang w:eastAsia="cs-CZ"/>
        </w:rPr>
        <w:t xml:space="preserve"> resp. reprodukční, ze které se po zařazení odepisuje.</w:t>
      </w:r>
    </w:p>
    <w:p w:rsidR="00533C34" w:rsidRPr="0070173A" w:rsidRDefault="008278E2" w:rsidP="00533C34">
      <w:pPr>
        <w:pStyle w:val="Odstavecseseznamem"/>
        <w:numPr>
          <w:ilvl w:val="0"/>
          <w:numId w:val="3"/>
        </w:numPr>
        <w:spacing w:after="100" w:afterAutospacing="1" w:line="240" w:lineRule="auto"/>
        <w:jc w:val="both"/>
        <w:rPr>
          <w:rFonts w:eastAsia="Times New Roman" w:cstheme="minorHAnsi"/>
          <w:sz w:val="24"/>
          <w:szCs w:val="24"/>
          <w:lang w:eastAsia="cs-CZ"/>
        </w:rPr>
      </w:pPr>
      <w:r w:rsidRPr="0070173A">
        <w:rPr>
          <w:rFonts w:eastAsia="Times New Roman" w:cstheme="minorHAnsi"/>
          <w:b/>
          <w:bCs/>
          <w:sz w:val="24"/>
          <w:szCs w:val="24"/>
          <w:lang w:eastAsia="cs-CZ"/>
        </w:rPr>
        <w:t>Daňové odpisy</w:t>
      </w:r>
      <w:r w:rsidRPr="0070173A">
        <w:rPr>
          <w:rFonts w:eastAsia="Times New Roman" w:cstheme="minorHAnsi"/>
          <w:sz w:val="24"/>
          <w:szCs w:val="24"/>
          <w:lang w:eastAsia="cs-CZ"/>
        </w:rPr>
        <w:t> – Jsou odpisy, jejichž výši a způsob uplatnění určuje zákon o daních z</w:t>
      </w:r>
      <w:r w:rsidR="00211542" w:rsidRPr="0070173A">
        <w:rPr>
          <w:rFonts w:eastAsia="Times New Roman" w:cstheme="minorHAnsi"/>
          <w:sz w:val="24"/>
          <w:szCs w:val="24"/>
          <w:lang w:eastAsia="cs-CZ"/>
        </w:rPr>
        <w:t> </w:t>
      </w:r>
      <w:r w:rsidRPr="0070173A">
        <w:rPr>
          <w:rFonts w:eastAsia="Times New Roman" w:cstheme="minorHAnsi"/>
          <w:sz w:val="24"/>
          <w:szCs w:val="24"/>
          <w:lang w:eastAsia="cs-CZ"/>
        </w:rPr>
        <w:t>příjmů</w:t>
      </w:r>
      <w:r w:rsidR="00211542" w:rsidRPr="0070173A">
        <w:rPr>
          <w:rFonts w:eastAsia="Times New Roman" w:cstheme="minorHAnsi"/>
          <w:sz w:val="24"/>
          <w:szCs w:val="24"/>
          <w:lang w:eastAsia="cs-CZ"/>
        </w:rPr>
        <w:t xml:space="preserve"> č. 586/1992 Sb., o daních z příjmů, v platném znění (dále jen zákon). </w:t>
      </w:r>
      <w:r w:rsidRPr="0070173A">
        <w:rPr>
          <w:rFonts w:eastAsia="Times New Roman" w:cstheme="minorHAnsi"/>
          <w:sz w:val="24"/>
          <w:szCs w:val="24"/>
          <w:lang w:eastAsia="cs-CZ"/>
        </w:rPr>
        <w:t>Neuplatňují se do účetních nákladů, nýbrž se zohledňují při určování základu daně z příjmů.</w:t>
      </w:r>
    </w:p>
    <w:p w:rsidR="00533C34" w:rsidRPr="0070173A" w:rsidRDefault="008278E2" w:rsidP="00533C34">
      <w:pPr>
        <w:pStyle w:val="Odstavecseseznamem"/>
        <w:numPr>
          <w:ilvl w:val="0"/>
          <w:numId w:val="3"/>
        </w:numPr>
        <w:spacing w:after="100" w:afterAutospacing="1" w:line="240" w:lineRule="auto"/>
        <w:jc w:val="both"/>
        <w:rPr>
          <w:rFonts w:eastAsia="Times New Roman" w:cstheme="minorHAnsi"/>
          <w:sz w:val="24"/>
          <w:szCs w:val="24"/>
          <w:lang w:eastAsia="cs-CZ"/>
        </w:rPr>
      </w:pPr>
      <w:r w:rsidRPr="0070173A">
        <w:rPr>
          <w:rFonts w:eastAsia="Times New Roman" w:cstheme="minorHAnsi"/>
          <w:b/>
          <w:bCs/>
          <w:sz w:val="24"/>
          <w:szCs w:val="24"/>
          <w:lang w:eastAsia="cs-CZ"/>
        </w:rPr>
        <w:t>Účetní odpisy</w:t>
      </w:r>
      <w:r w:rsidRPr="0070173A">
        <w:rPr>
          <w:rFonts w:eastAsia="Times New Roman" w:cstheme="minorHAnsi"/>
          <w:sz w:val="24"/>
          <w:szCs w:val="24"/>
          <w:lang w:eastAsia="cs-CZ"/>
        </w:rPr>
        <w:t> – Jsou vypočítávány z cen, ve kterých je majetek oceněn v účetnictví.</w:t>
      </w:r>
    </w:p>
    <w:p w:rsidR="00533C34" w:rsidRPr="0070173A" w:rsidRDefault="008278E2" w:rsidP="00533C34">
      <w:pPr>
        <w:pStyle w:val="Odstavecseseznamem"/>
        <w:numPr>
          <w:ilvl w:val="0"/>
          <w:numId w:val="3"/>
        </w:numPr>
        <w:spacing w:after="100" w:afterAutospacing="1" w:line="240" w:lineRule="auto"/>
        <w:jc w:val="both"/>
        <w:rPr>
          <w:rFonts w:eastAsia="Times New Roman" w:cstheme="minorHAnsi"/>
          <w:sz w:val="24"/>
          <w:szCs w:val="24"/>
          <w:lang w:eastAsia="cs-CZ"/>
        </w:rPr>
      </w:pPr>
      <w:r w:rsidRPr="0070173A">
        <w:rPr>
          <w:rFonts w:eastAsia="Times New Roman" w:cstheme="minorHAnsi"/>
          <w:b/>
          <w:bCs/>
          <w:sz w:val="24"/>
          <w:szCs w:val="24"/>
          <w:lang w:eastAsia="cs-CZ"/>
        </w:rPr>
        <w:t>Oprávky</w:t>
      </w:r>
      <w:r w:rsidRPr="0070173A">
        <w:rPr>
          <w:rFonts w:eastAsia="Times New Roman" w:cstheme="minorHAnsi"/>
          <w:sz w:val="24"/>
          <w:szCs w:val="24"/>
          <w:lang w:eastAsia="cs-CZ"/>
        </w:rPr>
        <w:t> – Představují součet všech zúčtovaných odpisů (suma kumulovaných odpisů), tj. výši opotřebení odpovídající běžným podmínkám používání dlouhodobého majetku.</w:t>
      </w:r>
    </w:p>
    <w:p w:rsidR="00533C34" w:rsidRPr="0070173A" w:rsidRDefault="008278E2" w:rsidP="00533C34">
      <w:pPr>
        <w:pStyle w:val="Odstavecseseznamem"/>
        <w:numPr>
          <w:ilvl w:val="0"/>
          <w:numId w:val="3"/>
        </w:numPr>
        <w:spacing w:after="100" w:afterAutospacing="1" w:line="240" w:lineRule="auto"/>
        <w:jc w:val="both"/>
        <w:rPr>
          <w:rFonts w:eastAsia="Times New Roman" w:cstheme="minorHAnsi"/>
          <w:sz w:val="24"/>
          <w:szCs w:val="24"/>
          <w:lang w:eastAsia="cs-CZ"/>
        </w:rPr>
      </w:pPr>
      <w:r w:rsidRPr="0070173A">
        <w:rPr>
          <w:rFonts w:eastAsia="Times New Roman" w:cstheme="minorHAnsi"/>
          <w:b/>
          <w:bCs/>
          <w:sz w:val="24"/>
          <w:szCs w:val="24"/>
          <w:lang w:eastAsia="cs-CZ"/>
        </w:rPr>
        <w:t>Zůstatková cena</w:t>
      </w:r>
      <w:r w:rsidRPr="0070173A">
        <w:rPr>
          <w:rFonts w:eastAsia="Times New Roman" w:cstheme="minorHAnsi"/>
          <w:sz w:val="24"/>
          <w:szCs w:val="24"/>
          <w:lang w:eastAsia="cs-CZ"/>
        </w:rPr>
        <w:t> – Je tvořena rozdílem mezi vstupní cenou dlouhodobého majetku a sumou odpisů (oprávkami).</w:t>
      </w:r>
    </w:p>
    <w:p w:rsidR="008278E2" w:rsidRPr="0070173A" w:rsidRDefault="008278E2" w:rsidP="00533C34">
      <w:pPr>
        <w:spacing w:after="100" w:afterAutospacing="1" w:line="240" w:lineRule="auto"/>
        <w:jc w:val="both"/>
        <w:rPr>
          <w:rFonts w:eastAsia="Times New Roman" w:cstheme="minorHAnsi"/>
          <w:sz w:val="24"/>
          <w:szCs w:val="24"/>
          <w:lang w:eastAsia="cs-CZ"/>
        </w:rPr>
      </w:pPr>
      <w:r w:rsidRPr="0070173A">
        <w:rPr>
          <w:rFonts w:eastAsia="Times New Roman" w:cstheme="minorHAnsi"/>
          <w:sz w:val="24"/>
          <w:szCs w:val="24"/>
          <w:lang w:eastAsia="cs-CZ"/>
        </w:rPr>
        <w:t xml:space="preserve">Vymezení </w:t>
      </w:r>
      <w:r w:rsidR="00523A07" w:rsidRPr="0070173A">
        <w:rPr>
          <w:rFonts w:eastAsia="Times New Roman" w:cstheme="minorHAnsi"/>
          <w:sz w:val="24"/>
          <w:szCs w:val="24"/>
          <w:lang w:eastAsia="cs-CZ"/>
        </w:rPr>
        <w:t xml:space="preserve">a oceňování </w:t>
      </w:r>
      <w:r w:rsidRPr="0070173A">
        <w:rPr>
          <w:rFonts w:eastAsia="Times New Roman" w:cstheme="minorHAnsi"/>
          <w:sz w:val="24"/>
          <w:szCs w:val="24"/>
          <w:lang w:eastAsia="cs-CZ"/>
        </w:rPr>
        <w:t>dlouhodobého hmotného a nehmotného majetku stanoví organizační směrnice o evidenci majetku (SR</w:t>
      </w:r>
      <w:r w:rsidR="006813CB" w:rsidRPr="0070173A">
        <w:rPr>
          <w:rFonts w:eastAsia="Times New Roman" w:cstheme="minorHAnsi"/>
          <w:sz w:val="24"/>
          <w:szCs w:val="24"/>
          <w:lang w:eastAsia="cs-CZ"/>
        </w:rPr>
        <w:t xml:space="preserve"> </w:t>
      </w:r>
      <w:r w:rsidRPr="0070173A">
        <w:rPr>
          <w:rFonts w:eastAsia="Times New Roman" w:cstheme="minorHAnsi"/>
          <w:sz w:val="24"/>
          <w:szCs w:val="24"/>
          <w:lang w:eastAsia="cs-CZ"/>
        </w:rPr>
        <w:t>0</w:t>
      </w:r>
      <w:r w:rsidR="006664AF" w:rsidRPr="0070173A">
        <w:rPr>
          <w:rFonts w:eastAsia="Times New Roman" w:cstheme="minorHAnsi"/>
          <w:sz w:val="24"/>
          <w:szCs w:val="24"/>
          <w:lang w:eastAsia="cs-CZ"/>
        </w:rPr>
        <w:t>3</w:t>
      </w:r>
      <w:r w:rsidRPr="0070173A">
        <w:rPr>
          <w:rFonts w:eastAsia="Times New Roman" w:cstheme="minorHAnsi"/>
          <w:sz w:val="24"/>
          <w:szCs w:val="24"/>
          <w:lang w:eastAsia="cs-CZ"/>
        </w:rPr>
        <w:t>/</w:t>
      </w:r>
      <w:r w:rsidR="006664AF" w:rsidRPr="0070173A">
        <w:rPr>
          <w:rFonts w:eastAsia="Times New Roman" w:cstheme="minorHAnsi"/>
          <w:sz w:val="24"/>
          <w:szCs w:val="24"/>
          <w:lang w:eastAsia="cs-CZ"/>
        </w:rPr>
        <w:t>21</w:t>
      </w:r>
      <w:r w:rsidRPr="0070173A">
        <w:rPr>
          <w:rFonts w:eastAsia="Times New Roman" w:cstheme="minorHAnsi"/>
          <w:sz w:val="24"/>
          <w:szCs w:val="24"/>
          <w:lang w:eastAsia="cs-CZ"/>
        </w:rPr>
        <w:t>) „Evidence</w:t>
      </w:r>
      <w:r w:rsidR="006664AF" w:rsidRPr="0070173A">
        <w:rPr>
          <w:rFonts w:eastAsia="Times New Roman" w:cstheme="minorHAnsi"/>
          <w:sz w:val="24"/>
          <w:szCs w:val="24"/>
          <w:lang w:eastAsia="cs-CZ"/>
        </w:rPr>
        <w:t>, oceňování a správa</w:t>
      </w:r>
      <w:r w:rsidRPr="0070173A">
        <w:rPr>
          <w:rFonts w:eastAsia="Times New Roman" w:cstheme="minorHAnsi"/>
          <w:sz w:val="24"/>
          <w:szCs w:val="24"/>
          <w:lang w:eastAsia="cs-CZ"/>
        </w:rPr>
        <w:t xml:space="preserve"> majetku“, bod 2</w:t>
      </w:r>
      <w:r w:rsidR="006664AF" w:rsidRPr="0070173A">
        <w:rPr>
          <w:rFonts w:eastAsia="Times New Roman" w:cstheme="minorHAnsi"/>
          <w:sz w:val="24"/>
          <w:szCs w:val="24"/>
          <w:lang w:eastAsia="cs-CZ"/>
        </w:rPr>
        <w:t>.1</w:t>
      </w:r>
      <w:r w:rsidRPr="0070173A">
        <w:rPr>
          <w:rFonts w:eastAsia="Times New Roman" w:cstheme="minorHAnsi"/>
          <w:sz w:val="24"/>
          <w:szCs w:val="24"/>
          <w:lang w:eastAsia="cs-CZ"/>
        </w:rPr>
        <w:t>.</w:t>
      </w:r>
    </w:p>
    <w:p w:rsidR="00533C34" w:rsidRPr="009956B9" w:rsidRDefault="00533C34" w:rsidP="00533C34">
      <w:pPr>
        <w:pStyle w:val="Odstavecseseznamem"/>
        <w:numPr>
          <w:ilvl w:val="0"/>
          <w:numId w:val="1"/>
        </w:numPr>
        <w:spacing w:after="100" w:afterAutospacing="1" w:line="240" w:lineRule="auto"/>
        <w:outlineLvl w:val="1"/>
        <w:rPr>
          <w:rFonts w:eastAsia="Times New Roman" w:cstheme="minorHAnsi"/>
          <w:b/>
          <w:bCs/>
          <w:sz w:val="32"/>
          <w:szCs w:val="36"/>
          <w:lang w:eastAsia="cs-CZ"/>
        </w:rPr>
      </w:pPr>
      <w:r w:rsidRPr="009956B9">
        <w:rPr>
          <w:rFonts w:eastAsia="Times New Roman" w:cstheme="minorHAnsi"/>
          <w:b/>
          <w:bCs/>
          <w:sz w:val="32"/>
          <w:szCs w:val="36"/>
          <w:lang w:eastAsia="cs-CZ"/>
        </w:rPr>
        <w:t>ÚČETNÍ ODPISY</w:t>
      </w:r>
    </w:p>
    <w:p w:rsidR="00533C34" w:rsidRPr="0070173A" w:rsidRDefault="00533C34" w:rsidP="00533C34">
      <w:pPr>
        <w:spacing w:after="100" w:afterAutospacing="1" w:line="240" w:lineRule="auto"/>
        <w:jc w:val="both"/>
        <w:rPr>
          <w:rFonts w:eastAsia="Times New Roman" w:cstheme="minorHAnsi"/>
          <w:sz w:val="24"/>
          <w:szCs w:val="24"/>
          <w:lang w:eastAsia="cs-CZ"/>
        </w:rPr>
      </w:pPr>
      <w:r w:rsidRPr="0070173A">
        <w:rPr>
          <w:rFonts w:eastAsia="Times New Roman" w:cstheme="minorHAnsi"/>
          <w:sz w:val="24"/>
          <w:szCs w:val="24"/>
          <w:lang w:eastAsia="cs-CZ"/>
        </w:rPr>
        <w:t>Účetní odpisy představují peněžní vyjádření fyzického a morálního opotřebení dlouhodobého hmotného a nehmotného majetku a nepřímým způsobem formou oprávek snižují jeho cenu. Odepisováním se přenáší pořizovací cena dlouhodobého majetku postupně do nákladů. Odpisy jsou základním zdrojem tvorby fondu reprodukce investičního majetku, který je jedním ze zdrojů financování pořízení dlouhodobého majetku v dalších obdobích.</w:t>
      </w:r>
    </w:p>
    <w:p w:rsidR="00533C34" w:rsidRPr="0070173A" w:rsidRDefault="00533C34" w:rsidP="00533C34">
      <w:pPr>
        <w:spacing w:after="100" w:afterAutospacing="1" w:line="240" w:lineRule="auto"/>
        <w:jc w:val="both"/>
        <w:rPr>
          <w:rFonts w:eastAsia="Times New Roman" w:cstheme="minorHAnsi"/>
          <w:sz w:val="24"/>
          <w:szCs w:val="24"/>
          <w:lang w:eastAsia="cs-CZ"/>
        </w:rPr>
      </w:pPr>
      <w:r w:rsidRPr="0070173A">
        <w:rPr>
          <w:rFonts w:eastAsia="Times New Roman" w:cstheme="minorHAnsi"/>
          <w:sz w:val="24"/>
          <w:szCs w:val="24"/>
          <w:lang w:eastAsia="cs-CZ"/>
        </w:rPr>
        <w:t>Podle</w:t>
      </w:r>
      <w:r w:rsidR="009956B9">
        <w:rPr>
          <w:rFonts w:eastAsia="Times New Roman" w:cstheme="minorHAnsi"/>
          <w:sz w:val="24"/>
          <w:szCs w:val="24"/>
          <w:lang w:eastAsia="cs-CZ"/>
        </w:rPr>
        <w:t xml:space="preserve"> </w:t>
      </w:r>
      <w:r w:rsidR="008434FA" w:rsidRPr="0070173A">
        <w:rPr>
          <w:rFonts w:eastAsia="Times New Roman" w:cstheme="minorHAnsi"/>
          <w:sz w:val="24"/>
          <w:szCs w:val="24"/>
          <w:lang w:eastAsia="cs-CZ"/>
        </w:rPr>
        <w:t xml:space="preserve">§ 28 </w:t>
      </w:r>
      <w:r w:rsidRPr="0070173A">
        <w:rPr>
          <w:rFonts w:eastAsia="Times New Roman" w:cstheme="minorHAnsi"/>
          <w:sz w:val="24"/>
          <w:szCs w:val="24"/>
          <w:lang w:eastAsia="cs-CZ"/>
        </w:rPr>
        <w:t>odst.1 zákona o účetnictví se neodepisují:</w:t>
      </w:r>
    </w:p>
    <w:p w:rsidR="00533C34" w:rsidRPr="0070173A" w:rsidRDefault="00533C34" w:rsidP="00533C34">
      <w:pPr>
        <w:pStyle w:val="Odstavecseseznamem"/>
        <w:numPr>
          <w:ilvl w:val="0"/>
          <w:numId w:val="4"/>
        </w:numPr>
        <w:spacing w:after="100" w:afterAutospacing="1" w:line="240" w:lineRule="auto"/>
        <w:jc w:val="both"/>
        <w:rPr>
          <w:rFonts w:eastAsia="Times New Roman" w:cstheme="minorHAnsi"/>
          <w:b/>
          <w:sz w:val="24"/>
          <w:szCs w:val="24"/>
          <w:lang w:eastAsia="cs-CZ"/>
        </w:rPr>
      </w:pPr>
      <w:r w:rsidRPr="0070173A">
        <w:rPr>
          <w:rFonts w:eastAsia="Times New Roman" w:cstheme="minorHAnsi"/>
          <w:b/>
          <w:sz w:val="24"/>
          <w:szCs w:val="24"/>
          <w:lang w:eastAsia="cs-CZ"/>
        </w:rPr>
        <w:t>pozemky</w:t>
      </w:r>
      <w:r w:rsidR="008434FA">
        <w:rPr>
          <w:rFonts w:eastAsia="Times New Roman" w:cstheme="minorHAnsi"/>
          <w:b/>
          <w:sz w:val="24"/>
          <w:szCs w:val="24"/>
          <w:lang w:eastAsia="cs-CZ"/>
        </w:rPr>
        <w:t>;</w:t>
      </w:r>
    </w:p>
    <w:p w:rsidR="00533C34" w:rsidRPr="0070173A" w:rsidRDefault="00533C34" w:rsidP="00533C34">
      <w:pPr>
        <w:pStyle w:val="Odstavecseseznamem"/>
        <w:numPr>
          <w:ilvl w:val="0"/>
          <w:numId w:val="4"/>
        </w:numPr>
        <w:spacing w:after="100" w:afterAutospacing="1" w:line="240" w:lineRule="auto"/>
        <w:jc w:val="both"/>
        <w:rPr>
          <w:rFonts w:eastAsia="Times New Roman" w:cstheme="minorHAnsi"/>
          <w:b/>
          <w:sz w:val="24"/>
          <w:szCs w:val="24"/>
          <w:lang w:eastAsia="cs-CZ"/>
        </w:rPr>
      </w:pPr>
      <w:r w:rsidRPr="0070173A">
        <w:rPr>
          <w:rFonts w:eastAsia="Times New Roman" w:cstheme="minorHAnsi"/>
          <w:b/>
          <w:sz w:val="24"/>
          <w:szCs w:val="24"/>
          <w:lang w:eastAsia="cs-CZ"/>
        </w:rPr>
        <w:t>umělecká díla včetně sbírek a předmětů z drahých kovů</w:t>
      </w:r>
      <w:r w:rsidR="008434FA">
        <w:rPr>
          <w:rFonts w:eastAsia="Times New Roman" w:cstheme="minorHAnsi"/>
          <w:b/>
          <w:sz w:val="24"/>
          <w:szCs w:val="24"/>
          <w:lang w:eastAsia="cs-CZ"/>
        </w:rPr>
        <w:t>.</w:t>
      </w:r>
    </w:p>
    <w:p w:rsidR="00533C34" w:rsidRPr="0070173A" w:rsidRDefault="00533C34" w:rsidP="00533C34">
      <w:pPr>
        <w:shd w:val="clear" w:color="auto" w:fill="FFFFFF"/>
        <w:spacing w:after="0" w:line="240" w:lineRule="auto"/>
        <w:jc w:val="both"/>
        <w:outlineLvl w:val="0"/>
        <w:rPr>
          <w:rFonts w:eastAsia="Times New Roman" w:cstheme="minorHAnsi"/>
          <w:sz w:val="24"/>
          <w:szCs w:val="24"/>
          <w:lang w:eastAsia="cs-CZ"/>
        </w:rPr>
      </w:pPr>
      <w:r w:rsidRPr="0070173A">
        <w:rPr>
          <w:rFonts w:eastAsia="Times New Roman" w:cstheme="minorHAnsi"/>
          <w:sz w:val="24"/>
          <w:szCs w:val="24"/>
          <w:lang w:eastAsia="cs-CZ"/>
        </w:rPr>
        <w:t>Dlouhodobý majetek je zatřiďován do odpisových skupin v okamžiku uvedení do provozu podle Klasifikace produkce (CZ-CPA) nebo podle Klasifikace stavebních děl (CZ-CC). Ke každé odpisové skupině je přiřazena doba odpisování.</w:t>
      </w:r>
    </w:p>
    <w:p w:rsidR="00533C34" w:rsidRPr="0070173A" w:rsidRDefault="00533C34" w:rsidP="00533C34">
      <w:pPr>
        <w:spacing w:after="100" w:afterAutospacing="1" w:line="240" w:lineRule="auto"/>
        <w:jc w:val="both"/>
        <w:rPr>
          <w:rFonts w:eastAsia="Times New Roman" w:cstheme="minorHAnsi"/>
          <w:sz w:val="24"/>
          <w:szCs w:val="24"/>
          <w:lang w:eastAsia="cs-CZ"/>
        </w:rPr>
      </w:pPr>
      <w:r w:rsidRPr="0070173A">
        <w:rPr>
          <w:rFonts w:eastAsia="Times New Roman" w:cstheme="minorHAnsi"/>
          <w:sz w:val="24"/>
          <w:szCs w:val="24"/>
          <w:lang w:eastAsia="cs-CZ"/>
        </w:rPr>
        <w:t>Pro účely třídění majetku v účetnictví je majetek zařazen do následujících odpisových skupin:</w:t>
      </w:r>
    </w:p>
    <w:tbl>
      <w:tblPr>
        <w:tblStyle w:val="Mkatabulky"/>
        <w:tblW w:w="5000" w:type="pct"/>
        <w:tblLook w:val="04A0" w:firstRow="1" w:lastRow="0" w:firstColumn="1" w:lastColumn="0" w:noHBand="0" w:noVBand="1"/>
      </w:tblPr>
      <w:tblGrid>
        <w:gridCol w:w="3020"/>
        <w:gridCol w:w="3021"/>
        <w:gridCol w:w="3021"/>
      </w:tblGrid>
      <w:tr w:rsidR="00533C34" w:rsidRPr="0070173A" w:rsidTr="0070173A">
        <w:trPr>
          <w:trHeight w:val="530"/>
        </w:trPr>
        <w:tc>
          <w:tcPr>
            <w:tcW w:w="1666" w:type="pct"/>
            <w:shd w:val="clear" w:color="auto" w:fill="F2F2F2" w:themeFill="background1" w:themeFillShade="F2"/>
            <w:vAlign w:val="center"/>
            <w:hideMark/>
          </w:tcPr>
          <w:p w:rsidR="00533C34" w:rsidRPr="0070173A" w:rsidRDefault="00533C34" w:rsidP="00A20EE2">
            <w:pPr>
              <w:spacing w:after="100" w:afterAutospacing="1"/>
              <w:jc w:val="center"/>
              <w:rPr>
                <w:rFonts w:eastAsia="Times New Roman" w:cstheme="minorHAnsi"/>
                <w:b/>
                <w:bCs/>
                <w:sz w:val="24"/>
                <w:szCs w:val="24"/>
                <w:lang w:eastAsia="cs-CZ"/>
              </w:rPr>
            </w:pPr>
            <w:r w:rsidRPr="0070173A">
              <w:rPr>
                <w:rFonts w:eastAsia="Times New Roman" w:cstheme="minorHAnsi"/>
                <w:b/>
                <w:bCs/>
                <w:sz w:val="24"/>
                <w:szCs w:val="24"/>
                <w:lang w:eastAsia="cs-CZ"/>
              </w:rPr>
              <w:t>Odpisové skupiny</w:t>
            </w:r>
          </w:p>
        </w:tc>
        <w:tc>
          <w:tcPr>
            <w:tcW w:w="1667" w:type="pct"/>
            <w:shd w:val="clear" w:color="auto" w:fill="F2F2F2" w:themeFill="background1" w:themeFillShade="F2"/>
            <w:vAlign w:val="center"/>
            <w:hideMark/>
          </w:tcPr>
          <w:p w:rsidR="00533C34" w:rsidRPr="0070173A" w:rsidRDefault="00533C34" w:rsidP="00A20EE2">
            <w:pPr>
              <w:spacing w:after="100" w:afterAutospacing="1"/>
              <w:jc w:val="center"/>
              <w:rPr>
                <w:rFonts w:eastAsia="Times New Roman" w:cstheme="minorHAnsi"/>
                <w:b/>
                <w:bCs/>
                <w:sz w:val="24"/>
                <w:szCs w:val="24"/>
                <w:lang w:eastAsia="cs-CZ"/>
              </w:rPr>
            </w:pPr>
            <w:r w:rsidRPr="0070173A">
              <w:rPr>
                <w:rFonts w:eastAsia="Times New Roman" w:cstheme="minorHAnsi"/>
                <w:b/>
                <w:bCs/>
                <w:sz w:val="24"/>
                <w:szCs w:val="24"/>
                <w:lang w:eastAsia="cs-CZ"/>
              </w:rPr>
              <w:t>Účetní doba odpisování</w:t>
            </w:r>
          </w:p>
        </w:tc>
        <w:tc>
          <w:tcPr>
            <w:tcW w:w="1667" w:type="pct"/>
            <w:shd w:val="clear" w:color="auto" w:fill="F2F2F2" w:themeFill="background1" w:themeFillShade="F2"/>
            <w:vAlign w:val="center"/>
            <w:hideMark/>
          </w:tcPr>
          <w:p w:rsidR="00533C34" w:rsidRPr="0070173A" w:rsidRDefault="00533C34" w:rsidP="00A20EE2">
            <w:pPr>
              <w:spacing w:after="100" w:afterAutospacing="1"/>
              <w:jc w:val="center"/>
              <w:rPr>
                <w:rFonts w:eastAsia="Times New Roman" w:cstheme="minorHAnsi"/>
                <w:b/>
                <w:bCs/>
                <w:sz w:val="24"/>
                <w:szCs w:val="24"/>
                <w:lang w:eastAsia="cs-CZ"/>
              </w:rPr>
            </w:pPr>
            <w:r w:rsidRPr="0070173A">
              <w:rPr>
                <w:rFonts w:eastAsia="Times New Roman" w:cstheme="minorHAnsi"/>
                <w:b/>
                <w:bCs/>
                <w:sz w:val="24"/>
                <w:szCs w:val="24"/>
                <w:lang w:eastAsia="cs-CZ"/>
              </w:rPr>
              <w:t>Účetní odpisové procento</w:t>
            </w:r>
          </w:p>
        </w:tc>
      </w:tr>
      <w:tr w:rsidR="00533C34" w:rsidRPr="0070173A" w:rsidTr="0070173A">
        <w:tc>
          <w:tcPr>
            <w:tcW w:w="1666" w:type="pct"/>
            <w:shd w:val="clear" w:color="auto" w:fill="F2F2F2" w:themeFill="background1" w:themeFillShade="F2"/>
            <w:hideMark/>
          </w:tcPr>
          <w:p w:rsidR="00533C34" w:rsidRPr="0070173A" w:rsidRDefault="00533C34" w:rsidP="00A20E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0</w:t>
            </w:r>
          </w:p>
        </w:tc>
        <w:tc>
          <w:tcPr>
            <w:tcW w:w="1667" w:type="pct"/>
            <w:hideMark/>
          </w:tcPr>
          <w:p w:rsidR="00533C34" w:rsidRPr="0070173A" w:rsidRDefault="00533C34" w:rsidP="00A20E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0</w:t>
            </w:r>
          </w:p>
        </w:tc>
        <w:tc>
          <w:tcPr>
            <w:tcW w:w="1667" w:type="pct"/>
            <w:hideMark/>
          </w:tcPr>
          <w:p w:rsidR="00533C34" w:rsidRPr="0070173A" w:rsidRDefault="00533C34" w:rsidP="00A20E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0 %</w:t>
            </w:r>
          </w:p>
        </w:tc>
      </w:tr>
      <w:tr w:rsidR="00533C34" w:rsidRPr="0070173A" w:rsidTr="0070173A">
        <w:tc>
          <w:tcPr>
            <w:tcW w:w="1666" w:type="pct"/>
            <w:shd w:val="clear" w:color="auto" w:fill="F2F2F2" w:themeFill="background1" w:themeFillShade="F2"/>
            <w:hideMark/>
          </w:tcPr>
          <w:p w:rsidR="00533C34" w:rsidRPr="0070173A" w:rsidRDefault="00533C34" w:rsidP="00A20E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1</w:t>
            </w:r>
          </w:p>
        </w:tc>
        <w:tc>
          <w:tcPr>
            <w:tcW w:w="1667" w:type="pct"/>
            <w:hideMark/>
          </w:tcPr>
          <w:p w:rsidR="00533C34" w:rsidRPr="0070173A" w:rsidRDefault="00533C34" w:rsidP="00A20E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4 roky</w:t>
            </w:r>
          </w:p>
        </w:tc>
        <w:tc>
          <w:tcPr>
            <w:tcW w:w="1667" w:type="pct"/>
            <w:hideMark/>
          </w:tcPr>
          <w:p w:rsidR="00533C34" w:rsidRPr="0070173A" w:rsidRDefault="00533C34" w:rsidP="00A20E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25 %</w:t>
            </w:r>
          </w:p>
        </w:tc>
      </w:tr>
      <w:tr w:rsidR="00533C34" w:rsidRPr="0070173A" w:rsidTr="0070173A">
        <w:tc>
          <w:tcPr>
            <w:tcW w:w="1666" w:type="pct"/>
            <w:shd w:val="clear" w:color="auto" w:fill="F2F2F2" w:themeFill="background1" w:themeFillShade="F2"/>
            <w:hideMark/>
          </w:tcPr>
          <w:p w:rsidR="00533C34" w:rsidRPr="0070173A" w:rsidRDefault="00533C34" w:rsidP="00A20E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2</w:t>
            </w:r>
          </w:p>
        </w:tc>
        <w:tc>
          <w:tcPr>
            <w:tcW w:w="1667" w:type="pct"/>
            <w:hideMark/>
          </w:tcPr>
          <w:p w:rsidR="00533C34" w:rsidRPr="0070173A" w:rsidRDefault="00533C34" w:rsidP="00A20E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6   let</w:t>
            </w:r>
          </w:p>
        </w:tc>
        <w:tc>
          <w:tcPr>
            <w:tcW w:w="1667" w:type="pct"/>
            <w:hideMark/>
          </w:tcPr>
          <w:p w:rsidR="00533C34" w:rsidRPr="0070173A" w:rsidRDefault="00533C34" w:rsidP="00A20E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16,67 %</w:t>
            </w:r>
          </w:p>
        </w:tc>
      </w:tr>
      <w:tr w:rsidR="00533C34" w:rsidRPr="0070173A" w:rsidTr="0070173A">
        <w:tc>
          <w:tcPr>
            <w:tcW w:w="1666" w:type="pct"/>
            <w:shd w:val="clear" w:color="auto" w:fill="F2F2F2" w:themeFill="background1" w:themeFillShade="F2"/>
            <w:hideMark/>
          </w:tcPr>
          <w:p w:rsidR="00533C34" w:rsidRPr="0070173A" w:rsidRDefault="00533C34" w:rsidP="00A20E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3</w:t>
            </w:r>
          </w:p>
        </w:tc>
        <w:tc>
          <w:tcPr>
            <w:tcW w:w="1667" w:type="pct"/>
            <w:hideMark/>
          </w:tcPr>
          <w:p w:rsidR="00533C34" w:rsidRPr="0070173A" w:rsidRDefault="00533C34" w:rsidP="00A20E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12 let</w:t>
            </w:r>
          </w:p>
        </w:tc>
        <w:tc>
          <w:tcPr>
            <w:tcW w:w="1667" w:type="pct"/>
            <w:hideMark/>
          </w:tcPr>
          <w:p w:rsidR="00533C34" w:rsidRPr="0070173A" w:rsidRDefault="00533C34" w:rsidP="00A20E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8,33 %</w:t>
            </w:r>
          </w:p>
        </w:tc>
      </w:tr>
      <w:tr w:rsidR="00533C34" w:rsidRPr="0070173A" w:rsidTr="0070173A">
        <w:tc>
          <w:tcPr>
            <w:tcW w:w="1666" w:type="pct"/>
            <w:shd w:val="clear" w:color="auto" w:fill="F2F2F2" w:themeFill="background1" w:themeFillShade="F2"/>
            <w:hideMark/>
          </w:tcPr>
          <w:p w:rsidR="00533C34" w:rsidRPr="0070173A" w:rsidRDefault="00533C34" w:rsidP="00A20E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4</w:t>
            </w:r>
          </w:p>
        </w:tc>
        <w:tc>
          <w:tcPr>
            <w:tcW w:w="1667" w:type="pct"/>
            <w:hideMark/>
          </w:tcPr>
          <w:p w:rsidR="00533C34" w:rsidRPr="0070173A" w:rsidRDefault="00533C34" w:rsidP="00A20E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20 let</w:t>
            </w:r>
          </w:p>
        </w:tc>
        <w:tc>
          <w:tcPr>
            <w:tcW w:w="1667" w:type="pct"/>
            <w:hideMark/>
          </w:tcPr>
          <w:p w:rsidR="00533C34" w:rsidRPr="0070173A" w:rsidRDefault="00533C34" w:rsidP="00A20E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5 %</w:t>
            </w:r>
          </w:p>
        </w:tc>
      </w:tr>
      <w:tr w:rsidR="00533C34" w:rsidRPr="0070173A" w:rsidTr="0070173A">
        <w:tc>
          <w:tcPr>
            <w:tcW w:w="1666" w:type="pct"/>
            <w:shd w:val="clear" w:color="auto" w:fill="F2F2F2" w:themeFill="background1" w:themeFillShade="F2"/>
            <w:hideMark/>
          </w:tcPr>
          <w:p w:rsidR="00533C34" w:rsidRPr="0070173A" w:rsidRDefault="00533C34" w:rsidP="00A20E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5</w:t>
            </w:r>
          </w:p>
        </w:tc>
        <w:tc>
          <w:tcPr>
            <w:tcW w:w="1667" w:type="pct"/>
            <w:hideMark/>
          </w:tcPr>
          <w:p w:rsidR="00533C34" w:rsidRPr="0070173A" w:rsidRDefault="00533C34" w:rsidP="00A20E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70 let</w:t>
            </w:r>
          </w:p>
        </w:tc>
        <w:tc>
          <w:tcPr>
            <w:tcW w:w="1667" w:type="pct"/>
            <w:hideMark/>
          </w:tcPr>
          <w:p w:rsidR="00533C34" w:rsidRPr="0070173A" w:rsidRDefault="00533C34" w:rsidP="00A20E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1,43 %</w:t>
            </w:r>
          </w:p>
        </w:tc>
      </w:tr>
      <w:tr w:rsidR="00533C34" w:rsidRPr="0070173A" w:rsidTr="0070173A">
        <w:tc>
          <w:tcPr>
            <w:tcW w:w="1666" w:type="pct"/>
            <w:shd w:val="clear" w:color="auto" w:fill="F2F2F2" w:themeFill="background1" w:themeFillShade="F2"/>
            <w:hideMark/>
          </w:tcPr>
          <w:p w:rsidR="00533C34" w:rsidRPr="0070173A" w:rsidRDefault="00533C34" w:rsidP="00A20E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6</w:t>
            </w:r>
          </w:p>
        </w:tc>
        <w:tc>
          <w:tcPr>
            <w:tcW w:w="1667" w:type="pct"/>
            <w:hideMark/>
          </w:tcPr>
          <w:p w:rsidR="00533C34" w:rsidRPr="0070173A" w:rsidRDefault="00533C34" w:rsidP="00A20E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80 let</w:t>
            </w:r>
          </w:p>
        </w:tc>
        <w:tc>
          <w:tcPr>
            <w:tcW w:w="1667" w:type="pct"/>
            <w:hideMark/>
          </w:tcPr>
          <w:p w:rsidR="00533C34" w:rsidRPr="0070173A" w:rsidRDefault="00533C34" w:rsidP="00A20E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1,25 %</w:t>
            </w:r>
          </w:p>
        </w:tc>
      </w:tr>
    </w:tbl>
    <w:p w:rsidR="00533C34" w:rsidRPr="0070173A" w:rsidRDefault="00533C34" w:rsidP="00533C34">
      <w:pPr>
        <w:spacing w:after="100" w:afterAutospacing="1" w:line="240" w:lineRule="auto"/>
        <w:rPr>
          <w:rFonts w:eastAsia="Times New Roman" w:cstheme="minorHAnsi"/>
          <w:color w:val="FF0000"/>
          <w:sz w:val="24"/>
          <w:szCs w:val="24"/>
          <w:lang w:eastAsia="cs-CZ"/>
        </w:rPr>
      </w:pPr>
    </w:p>
    <w:tbl>
      <w:tblPr>
        <w:tblStyle w:val="Mkatabulky"/>
        <w:tblW w:w="5000" w:type="pct"/>
        <w:tblLook w:val="04A0" w:firstRow="1" w:lastRow="0" w:firstColumn="1" w:lastColumn="0" w:noHBand="0" w:noVBand="1"/>
      </w:tblPr>
      <w:tblGrid>
        <w:gridCol w:w="1752"/>
        <w:gridCol w:w="7310"/>
      </w:tblGrid>
      <w:tr w:rsidR="00533C34" w:rsidRPr="0070173A" w:rsidTr="0070173A">
        <w:tc>
          <w:tcPr>
            <w:tcW w:w="2500" w:type="pct"/>
            <w:shd w:val="clear" w:color="auto" w:fill="F2F2F2" w:themeFill="background1" w:themeFillShade="F2"/>
            <w:noWrap/>
            <w:vAlign w:val="center"/>
            <w:hideMark/>
          </w:tcPr>
          <w:p w:rsidR="00533C34" w:rsidRPr="0070173A" w:rsidRDefault="00533C34" w:rsidP="00A20EE2">
            <w:pPr>
              <w:spacing w:after="100" w:afterAutospacing="1"/>
              <w:jc w:val="center"/>
              <w:rPr>
                <w:rFonts w:eastAsia="Times New Roman" w:cstheme="minorHAnsi"/>
                <w:b/>
                <w:bCs/>
                <w:sz w:val="24"/>
                <w:szCs w:val="24"/>
                <w:lang w:eastAsia="cs-CZ"/>
              </w:rPr>
            </w:pPr>
            <w:r w:rsidRPr="0070173A">
              <w:rPr>
                <w:rFonts w:eastAsia="Times New Roman" w:cstheme="minorHAnsi"/>
                <w:b/>
                <w:bCs/>
                <w:sz w:val="24"/>
                <w:szCs w:val="24"/>
                <w:lang w:eastAsia="cs-CZ"/>
              </w:rPr>
              <w:lastRenderedPageBreak/>
              <w:t>Účetní odpisová skupina</w:t>
            </w:r>
          </w:p>
        </w:tc>
        <w:tc>
          <w:tcPr>
            <w:tcW w:w="2500" w:type="pct"/>
            <w:shd w:val="clear" w:color="auto" w:fill="F2F2F2" w:themeFill="background1" w:themeFillShade="F2"/>
            <w:noWrap/>
            <w:vAlign w:val="center"/>
            <w:hideMark/>
          </w:tcPr>
          <w:p w:rsidR="00533C34" w:rsidRPr="0070173A" w:rsidRDefault="00533C34" w:rsidP="00A20EE2">
            <w:pPr>
              <w:spacing w:after="100" w:afterAutospacing="1"/>
              <w:jc w:val="center"/>
              <w:rPr>
                <w:rFonts w:eastAsia="Times New Roman" w:cstheme="minorHAnsi"/>
                <w:b/>
                <w:bCs/>
                <w:sz w:val="24"/>
                <w:szCs w:val="24"/>
                <w:lang w:eastAsia="cs-CZ"/>
              </w:rPr>
            </w:pPr>
            <w:r w:rsidRPr="0070173A">
              <w:rPr>
                <w:rFonts w:eastAsia="Times New Roman" w:cstheme="minorHAnsi"/>
                <w:b/>
                <w:bCs/>
                <w:sz w:val="24"/>
                <w:szCs w:val="24"/>
                <w:lang w:eastAsia="cs-CZ"/>
              </w:rPr>
              <w:t>Název majetku – celý výčet viz číselník EIS</w:t>
            </w:r>
          </w:p>
        </w:tc>
      </w:tr>
      <w:tr w:rsidR="00533C34" w:rsidRPr="0070173A" w:rsidTr="0070173A">
        <w:tc>
          <w:tcPr>
            <w:tcW w:w="2500" w:type="pct"/>
            <w:shd w:val="clear" w:color="auto" w:fill="F2F2F2" w:themeFill="background1" w:themeFillShade="F2"/>
            <w:noWrap/>
            <w:vAlign w:val="center"/>
            <w:hideMark/>
          </w:tcPr>
          <w:p w:rsidR="00533C34" w:rsidRPr="0070173A" w:rsidRDefault="00533C34" w:rsidP="00A20E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0</w:t>
            </w:r>
          </w:p>
        </w:tc>
        <w:tc>
          <w:tcPr>
            <w:tcW w:w="2500" w:type="pct"/>
            <w:noWrap/>
            <w:hideMark/>
          </w:tcPr>
          <w:p w:rsidR="00533C34" w:rsidRPr="0070173A" w:rsidRDefault="00533C34" w:rsidP="00A20EE2">
            <w:pPr>
              <w:rPr>
                <w:rFonts w:eastAsia="Times New Roman" w:cstheme="minorHAnsi"/>
                <w:sz w:val="24"/>
                <w:szCs w:val="24"/>
                <w:lang w:eastAsia="cs-CZ"/>
              </w:rPr>
            </w:pPr>
            <w:r w:rsidRPr="0070173A">
              <w:rPr>
                <w:rFonts w:eastAsia="Times New Roman" w:cstheme="minorHAnsi"/>
                <w:sz w:val="24"/>
                <w:szCs w:val="24"/>
                <w:lang w:eastAsia="cs-CZ"/>
              </w:rPr>
              <w:t>Pozemek, umělecká díla</w:t>
            </w:r>
          </w:p>
        </w:tc>
      </w:tr>
      <w:tr w:rsidR="00533C34" w:rsidRPr="0070173A" w:rsidTr="0070173A">
        <w:tc>
          <w:tcPr>
            <w:tcW w:w="2500" w:type="pct"/>
            <w:shd w:val="clear" w:color="auto" w:fill="F2F2F2" w:themeFill="background1" w:themeFillShade="F2"/>
            <w:noWrap/>
            <w:vAlign w:val="center"/>
            <w:hideMark/>
          </w:tcPr>
          <w:p w:rsidR="00533C34" w:rsidRPr="0070173A" w:rsidRDefault="00533C34" w:rsidP="00A20E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1</w:t>
            </w:r>
          </w:p>
        </w:tc>
        <w:tc>
          <w:tcPr>
            <w:tcW w:w="2500" w:type="pct"/>
            <w:noWrap/>
            <w:hideMark/>
          </w:tcPr>
          <w:p w:rsidR="00533C34" w:rsidRPr="0070173A" w:rsidRDefault="00533C34" w:rsidP="00A20EE2">
            <w:pPr>
              <w:rPr>
                <w:rFonts w:eastAsia="Times New Roman" w:cstheme="minorHAnsi"/>
                <w:sz w:val="24"/>
                <w:szCs w:val="24"/>
                <w:lang w:eastAsia="cs-CZ"/>
              </w:rPr>
            </w:pPr>
            <w:r w:rsidRPr="0070173A">
              <w:rPr>
                <w:rFonts w:eastAsia="Times New Roman" w:cstheme="minorHAnsi"/>
                <w:sz w:val="24"/>
                <w:szCs w:val="24"/>
                <w:lang w:eastAsia="cs-CZ"/>
              </w:rPr>
              <w:t>počítače, stroje, pří</w:t>
            </w:r>
            <w:bookmarkStart w:id="0" w:name="_GoBack"/>
            <w:bookmarkEnd w:id="0"/>
            <w:r w:rsidRPr="0070173A">
              <w:rPr>
                <w:rFonts w:eastAsia="Times New Roman" w:cstheme="minorHAnsi"/>
                <w:sz w:val="24"/>
                <w:szCs w:val="24"/>
                <w:lang w:eastAsia="cs-CZ"/>
              </w:rPr>
              <w:t>stroje, kamery, faxy, TV, nástroje, speciální vozidla, software, licence, ostatní nehmotný majetek</w:t>
            </w:r>
          </w:p>
        </w:tc>
      </w:tr>
      <w:tr w:rsidR="00533C34" w:rsidRPr="0070173A" w:rsidTr="0070173A">
        <w:tc>
          <w:tcPr>
            <w:tcW w:w="2500" w:type="pct"/>
            <w:vMerge w:val="restart"/>
            <w:shd w:val="clear" w:color="auto" w:fill="F2F2F2" w:themeFill="background1" w:themeFillShade="F2"/>
            <w:noWrap/>
            <w:vAlign w:val="center"/>
            <w:hideMark/>
          </w:tcPr>
          <w:p w:rsidR="00533C34" w:rsidRPr="0070173A" w:rsidRDefault="00533C34" w:rsidP="00A20E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2</w:t>
            </w:r>
          </w:p>
        </w:tc>
        <w:tc>
          <w:tcPr>
            <w:tcW w:w="2500" w:type="pct"/>
            <w:noWrap/>
            <w:hideMark/>
          </w:tcPr>
          <w:p w:rsidR="00533C34" w:rsidRPr="0070173A" w:rsidRDefault="00533C34" w:rsidP="00A20EE2">
            <w:pPr>
              <w:rPr>
                <w:rFonts w:eastAsia="Times New Roman" w:cstheme="minorHAnsi"/>
                <w:sz w:val="24"/>
                <w:szCs w:val="24"/>
                <w:lang w:eastAsia="cs-CZ"/>
              </w:rPr>
            </w:pPr>
            <w:r w:rsidRPr="0070173A">
              <w:rPr>
                <w:rFonts w:eastAsia="Times New Roman" w:cstheme="minorHAnsi"/>
                <w:sz w:val="24"/>
                <w:szCs w:val="24"/>
                <w:lang w:eastAsia="cs-CZ"/>
              </w:rPr>
              <w:t>vozidla osobní, vozidla nákladní</w:t>
            </w:r>
          </w:p>
        </w:tc>
      </w:tr>
      <w:tr w:rsidR="00533C34" w:rsidRPr="0070173A" w:rsidTr="0070173A">
        <w:tc>
          <w:tcPr>
            <w:tcW w:w="2500" w:type="pct"/>
            <w:vMerge/>
            <w:shd w:val="clear" w:color="auto" w:fill="F2F2F2" w:themeFill="background1" w:themeFillShade="F2"/>
            <w:vAlign w:val="center"/>
            <w:hideMark/>
          </w:tcPr>
          <w:p w:rsidR="00533C34" w:rsidRPr="0070173A" w:rsidRDefault="00533C34" w:rsidP="00A20EE2">
            <w:pPr>
              <w:jc w:val="center"/>
              <w:rPr>
                <w:rFonts w:eastAsia="Times New Roman" w:cstheme="minorHAnsi"/>
                <w:sz w:val="24"/>
                <w:szCs w:val="24"/>
                <w:lang w:eastAsia="cs-CZ"/>
              </w:rPr>
            </w:pPr>
          </w:p>
        </w:tc>
        <w:tc>
          <w:tcPr>
            <w:tcW w:w="2500" w:type="pct"/>
            <w:noWrap/>
            <w:hideMark/>
          </w:tcPr>
          <w:p w:rsidR="00533C34" w:rsidRPr="0070173A" w:rsidRDefault="00533C34" w:rsidP="00A20EE2">
            <w:pPr>
              <w:rPr>
                <w:rFonts w:eastAsia="Times New Roman" w:cstheme="minorHAnsi"/>
                <w:sz w:val="24"/>
                <w:szCs w:val="24"/>
                <w:lang w:eastAsia="cs-CZ"/>
              </w:rPr>
            </w:pPr>
            <w:r w:rsidRPr="0070173A">
              <w:rPr>
                <w:rFonts w:eastAsia="Times New Roman" w:cstheme="minorHAnsi"/>
                <w:sz w:val="24"/>
                <w:szCs w:val="24"/>
                <w:lang w:eastAsia="cs-CZ"/>
              </w:rPr>
              <w:t>čerpadla, zdviže, chladící a mrazící zařízení, jiná vozidla, hudební nástroje, sportovní potřeby</w:t>
            </w:r>
          </w:p>
        </w:tc>
      </w:tr>
      <w:tr w:rsidR="00533C34" w:rsidRPr="0070173A" w:rsidTr="0070173A">
        <w:tc>
          <w:tcPr>
            <w:tcW w:w="2500" w:type="pct"/>
            <w:shd w:val="clear" w:color="auto" w:fill="F2F2F2" w:themeFill="background1" w:themeFillShade="F2"/>
            <w:noWrap/>
            <w:vAlign w:val="center"/>
            <w:hideMark/>
          </w:tcPr>
          <w:p w:rsidR="00533C34" w:rsidRPr="0070173A" w:rsidRDefault="00533C34" w:rsidP="00A20E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3</w:t>
            </w:r>
          </w:p>
        </w:tc>
        <w:tc>
          <w:tcPr>
            <w:tcW w:w="2500" w:type="pct"/>
            <w:noWrap/>
            <w:hideMark/>
          </w:tcPr>
          <w:p w:rsidR="00533C34" w:rsidRPr="0070173A" w:rsidRDefault="00533C34" w:rsidP="00A20EE2">
            <w:pPr>
              <w:rPr>
                <w:rFonts w:eastAsia="Times New Roman" w:cstheme="minorHAnsi"/>
                <w:sz w:val="24"/>
                <w:szCs w:val="24"/>
                <w:lang w:eastAsia="cs-CZ"/>
              </w:rPr>
            </w:pPr>
            <w:r w:rsidRPr="0070173A">
              <w:rPr>
                <w:rFonts w:eastAsia="Times New Roman" w:cstheme="minorHAnsi"/>
                <w:sz w:val="24"/>
                <w:szCs w:val="24"/>
                <w:lang w:eastAsia="cs-CZ"/>
              </w:rPr>
              <w:t>klimatizace, výtahy, elektromotory</w:t>
            </w:r>
          </w:p>
        </w:tc>
      </w:tr>
      <w:tr w:rsidR="00533C34" w:rsidRPr="0070173A" w:rsidTr="0070173A">
        <w:tc>
          <w:tcPr>
            <w:tcW w:w="2500" w:type="pct"/>
            <w:shd w:val="clear" w:color="auto" w:fill="F2F2F2" w:themeFill="background1" w:themeFillShade="F2"/>
            <w:noWrap/>
            <w:vAlign w:val="center"/>
            <w:hideMark/>
          </w:tcPr>
          <w:p w:rsidR="00533C34" w:rsidRPr="0070173A" w:rsidRDefault="00533C34" w:rsidP="00A20E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4</w:t>
            </w:r>
          </w:p>
        </w:tc>
        <w:tc>
          <w:tcPr>
            <w:tcW w:w="2500" w:type="pct"/>
            <w:noWrap/>
            <w:hideMark/>
          </w:tcPr>
          <w:p w:rsidR="00533C34" w:rsidRPr="0070173A" w:rsidRDefault="00533C34" w:rsidP="00A20EE2">
            <w:pPr>
              <w:rPr>
                <w:rFonts w:eastAsia="Times New Roman" w:cstheme="minorHAnsi"/>
                <w:sz w:val="24"/>
                <w:szCs w:val="24"/>
                <w:lang w:eastAsia="cs-CZ"/>
              </w:rPr>
            </w:pPr>
            <w:r w:rsidRPr="0070173A">
              <w:rPr>
                <w:rFonts w:eastAsia="Times New Roman" w:cstheme="minorHAnsi"/>
                <w:sz w:val="24"/>
                <w:szCs w:val="24"/>
                <w:lang w:eastAsia="cs-CZ"/>
              </w:rPr>
              <w:t>rekreační stavby, stavby pro sport</w:t>
            </w:r>
          </w:p>
        </w:tc>
      </w:tr>
      <w:tr w:rsidR="00533C34" w:rsidRPr="0070173A" w:rsidTr="0070173A">
        <w:tc>
          <w:tcPr>
            <w:tcW w:w="2500" w:type="pct"/>
            <w:shd w:val="clear" w:color="auto" w:fill="F2F2F2" w:themeFill="background1" w:themeFillShade="F2"/>
            <w:noWrap/>
            <w:vAlign w:val="center"/>
            <w:hideMark/>
          </w:tcPr>
          <w:p w:rsidR="00533C34" w:rsidRPr="0070173A" w:rsidRDefault="00533C34" w:rsidP="00A20E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5</w:t>
            </w:r>
          </w:p>
        </w:tc>
        <w:tc>
          <w:tcPr>
            <w:tcW w:w="2500" w:type="pct"/>
            <w:noWrap/>
            <w:hideMark/>
          </w:tcPr>
          <w:p w:rsidR="00533C34" w:rsidRPr="0070173A" w:rsidRDefault="00533C34" w:rsidP="00A20EE2">
            <w:pPr>
              <w:rPr>
                <w:rFonts w:eastAsia="Times New Roman" w:cstheme="minorHAnsi"/>
                <w:sz w:val="24"/>
                <w:szCs w:val="24"/>
                <w:lang w:eastAsia="cs-CZ"/>
              </w:rPr>
            </w:pPr>
            <w:r w:rsidRPr="0070173A">
              <w:rPr>
                <w:rFonts w:eastAsia="Times New Roman" w:cstheme="minorHAnsi"/>
                <w:sz w:val="24"/>
                <w:szCs w:val="24"/>
                <w:lang w:eastAsia="cs-CZ"/>
              </w:rPr>
              <w:t>stavby – koleje, ubytovací budovy</w:t>
            </w:r>
          </w:p>
        </w:tc>
      </w:tr>
      <w:tr w:rsidR="00533C34" w:rsidRPr="0070173A" w:rsidTr="0070173A">
        <w:tc>
          <w:tcPr>
            <w:tcW w:w="2500" w:type="pct"/>
            <w:shd w:val="clear" w:color="auto" w:fill="F2F2F2" w:themeFill="background1" w:themeFillShade="F2"/>
            <w:noWrap/>
            <w:vAlign w:val="center"/>
            <w:hideMark/>
          </w:tcPr>
          <w:p w:rsidR="00533C34" w:rsidRPr="0070173A" w:rsidRDefault="00533C34" w:rsidP="00A20E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6</w:t>
            </w:r>
          </w:p>
        </w:tc>
        <w:tc>
          <w:tcPr>
            <w:tcW w:w="2500" w:type="pct"/>
            <w:noWrap/>
            <w:hideMark/>
          </w:tcPr>
          <w:p w:rsidR="00533C34" w:rsidRPr="0070173A" w:rsidRDefault="00533C34" w:rsidP="00A20EE2">
            <w:pPr>
              <w:rPr>
                <w:rFonts w:eastAsia="Times New Roman" w:cstheme="minorHAnsi"/>
                <w:sz w:val="24"/>
                <w:szCs w:val="24"/>
                <w:lang w:eastAsia="cs-CZ"/>
              </w:rPr>
            </w:pPr>
            <w:r w:rsidRPr="0070173A">
              <w:rPr>
                <w:rFonts w:eastAsia="Times New Roman" w:cstheme="minorHAnsi"/>
                <w:sz w:val="24"/>
                <w:szCs w:val="24"/>
                <w:lang w:eastAsia="cs-CZ"/>
              </w:rPr>
              <w:t>stavby – univerzity, školy (od roku 2004)</w:t>
            </w:r>
          </w:p>
        </w:tc>
      </w:tr>
    </w:tbl>
    <w:p w:rsidR="00533C34" w:rsidRPr="0070173A" w:rsidRDefault="00533C34" w:rsidP="00533C34">
      <w:pPr>
        <w:spacing w:after="100" w:afterAutospacing="1" w:line="240" w:lineRule="auto"/>
        <w:rPr>
          <w:rFonts w:eastAsia="Times New Roman" w:cstheme="minorHAnsi"/>
          <w:sz w:val="24"/>
          <w:szCs w:val="24"/>
          <w:lang w:eastAsia="cs-CZ"/>
        </w:rPr>
      </w:pPr>
    </w:p>
    <w:p w:rsidR="00533C34" w:rsidRPr="0070173A" w:rsidRDefault="00533C34" w:rsidP="00533C34">
      <w:pPr>
        <w:spacing w:after="100" w:afterAutospacing="1" w:line="240" w:lineRule="auto"/>
        <w:jc w:val="both"/>
        <w:rPr>
          <w:rFonts w:eastAsia="Times New Roman" w:cstheme="minorHAnsi"/>
          <w:sz w:val="24"/>
          <w:szCs w:val="24"/>
          <w:lang w:eastAsia="cs-CZ"/>
        </w:rPr>
      </w:pPr>
      <w:r w:rsidRPr="0070173A">
        <w:rPr>
          <w:rFonts w:eastAsia="Times New Roman" w:cstheme="minorHAnsi"/>
          <w:sz w:val="24"/>
          <w:szCs w:val="24"/>
          <w:lang w:eastAsia="cs-CZ"/>
        </w:rPr>
        <w:t>Přehled všech použitých odpisových sazeb podle jednotlivých druhů majetku VŠE je součástí číselníku modulu majetek v ekonomickém informačním systému.</w:t>
      </w:r>
    </w:p>
    <w:p w:rsidR="00533C34" w:rsidRPr="0070173A" w:rsidRDefault="00533C34" w:rsidP="00533C34">
      <w:pPr>
        <w:spacing w:after="100" w:afterAutospacing="1" w:line="240" w:lineRule="auto"/>
        <w:jc w:val="both"/>
        <w:rPr>
          <w:rFonts w:eastAsia="Times New Roman" w:cstheme="minorHAnsi"/>
          <w:sz w:val="24"/>
          <w:szCs w:val="24"/>
          <w:lang w:eastAsia="cs-CZ"/>
        </w:rPr>
      </w:pPr>
      <w:r w:rsidRPr="0070173A">
        <w:rPr>
          <w:rFonts w:eastAsia="Times New Roman" w:cstheme="minorHAnsi"/>
          <w:sz w:val="24"/>
          <w:szCs w:val="24"/>
          <w:lang w:eastAsia="cs-CZ"/>
        </w:rPr>
        <w:t>Účetní odpisy dlouhodobého hmotného a nehmotného majetku se zpracovávají v ekonomickém informačním systému automaticky každý měsíc. Jednotlivý odpis se zaokrouhluje na celé koruny nahoru. Odpisování se začíná od měsíce následujícího po zařazení odpisovaného majetku do užívání. Poslední odpis je v měsíci, kdy oprávky dosáhly 100 % pořizovací (vstupní) ceny.</w:t>
      </w:r>
    </w:p>
    <w:p w:rsidR="008278E2" w:rsidRPr="009956B9" w:rsidRDefault="008278E2" w:rsidP="00533C34">
      <w:pPr>
        <w:pStyle w:val="Odstavecseseznamem"/>
        <w:numPr>
          <w:ilvl w:val="0"/>
          <w:numId w:val="1"/>
        </w:numPr>
        <w:spacing w:after="100" w:afterAutospacing="1" w:line="240" w:lineRule="auto"/>
        <w:outlineLvl w:val="1"/>
        <w:rPr>
          <w:rFonts w:eastAsia="Times New Roman" w:cstheme="minorHAnsi"/>
          <w:b/>
          <w:bCs/>
          <w:sz w:val="32"/>
          <w:szCs w:val="36"/>
          <w:lang w:eastAsia="cs-CZ"/>
        </w:rPr>
      </w:pPr>
      <w:r w:rsidRPr="009956B9">
        <w:rPr>
          <w:rFonts w:eastAsia="Times New Roman" w:cstheme="minorHAnsi"/>
          <w:b/>
          <w:bCs/>
          <w:sz w:val="32"/>
          <w:szCs w:val="36"/>
          <w:lang w:eastAsia="cs-CZ"/>
        </w:rPr>
        <w:t>DAŇOVÉ ODPISY</w:t>
      </w:r>
    </w:p>
    <w:p w:rsidR="008278E2" w:rsidRPr="0070173A" w:rsidRDefault="008278E2" w:rsidP="00533C34">
      <w:pPr>
        <w:spacing w:after="100" w:afterAutospacing="1" w:line="240" w:lineRule="auto"/>
        <w:jc w:val="both"/>
        <w:rPr>
          <w:rFonts w:eastAsia="Times New Roman" w:cstheme="minorHAnsi"/>
          <w:sz w:val="24"/>
          <w:szCs w:val="24"/>
          <w:lang w:eastAsia="cs-CZ"/>
        </w:rPr>
      </w:pPr>
      <w:r w:rsidRPr="0070173A">
        <w:rPr>
          <w:rFonts w:eastAsia="Times New Roman" w:cstheme="minorHAnsi"/>
          <w:sz w:val="24"/>
          <w:szCs w:val="24"/>
          <w:lang w:eastAsia="cs-CZ"/>
        </w:rPr>
        <w:t xml:space="preserve">Pro účely stanovení daňových odpisů určuje dobu a odpisové sazby zákon. Zatřídění dlouhodobého </w:t>
      </w:r>
      <w:r w:rsidR="00CF272C" w:rsidRPr="0070173A">
        <w:rPr>
          <w:rFonts w:eastAsia="Times New Roman" w:cstheme="minorHAnsi"/>
          <w:sz w:val="24"/>
          <w:szCs w:val="24"/>
          <w:lang w:eastAsia="cs-CZ"/>
        </w:rPr>
        <w:t xml:space="preserve">hmotného </w:t>
      </w:r>
      <w:r w:rsidRPr="0070173A">
        <w:rPr>
          <w:rFonts w:eastAsia="Times New Roman" w:cstheme="minorHAnsi"/>
          <w:sz w:val="24"/>
          <w:szCs w:val="24"/>
          <w:lang w:eastAsia="cs-CZ"/>
        </w:rPr>
        <w:t>majetku do odpisových skupin je dáno přílohou č. 1 k</w:t>
      </w:r>
      <w:r w:rsidR="00CF272C" w:rsidRPr="0070173A">
        <w:rPr>
          <w:rFonts w:eastAsia="Times New Roman" w:cstheme="minorHAnsi"/>
          <w:sz w:val="24"/>
          <w:szCs w:val="24"/>
          <w:lang w:eastAsia="cs-CZ"/>
        </w:rPr>
        <w:t> </w:t>
      </w:r>
      <w:r w:rsidRPr="0070173A">
        <w:rPr>
          <w:rFonts w:eastAsia="Times New Roman" w:cstheme="minorHAnsi"/>
          <w:sz w:val="24"/>
          <w:szCs w:val="24"/>
          <w:lang w:eastAsia="cs-CZ"/>
        </w:rPr>
        <w:t>zákonu</w:t>
      </w:r>
      <w:r w:rsidR="00CF272C" w:rsidRPr="0070173A">
        <w:rPr>
          <w:rFonts w:eastAsia="Times New Roman" w:cstheme="minorHAnsi"/>
          <w:sz w:val="24"/>
          <w:szCs w:val="24"/>
          <w:lang w:eastAsia="cs-CZ"/>
        </w:rPr>
        <w:t xml:space="preserve"> „Třídění hmotného majetku do odpisových skupin“</w:t>
      </w:r>
      <w:r w:rsidRPr="0070173A">
        <w:rPr>
          <w:rFonts w:eastAsia="Times New Roman" w:cstheme="minorHAnsi"/>
          <w:sz w:val="24"/>
          <w:szCs w:val="24"/>
          <w:lang w:eastAsia="cs-CZ"/>
        </w:rPr>
        <w:t>.</w:t>
      </w:r>
      <w:r w:rsidR="00CF272C" w:rsidRPr="0070173A">
        <w:rPr>
          <w:rFonts w:eastAsia="Times New Roman" w:cstheme="minorHAnsi"/>
          <w:sz w:val="24"/>
          <w:szCs w:val="24"/>
          <w:lang w:eastAsia="cs-CZ"/>
        </w:rPr>
        <w:t xml:space="preserve"> Daňové odpisy dlouhodobého nehmotného majetku jsou určeny dle účetních odpisů</w:t>
      </w:r>
      <w:r w:rsidR="00211542" w:rsidRPr="0070173A">
        <w:rPr>
          <w:rFonts w:eastAsia="Times New Roman" w:cstheme="minorHAnsi"/>
          <w:sz w:val="24"/>
          <w:szCs w:val="24"/>
          <w:lang w:eastAsia="cs-CZ"/>
        </w:rPr>
        <w:t xml:space="preserve"> viz § 24, odst. 2, bod v zákona</w:t>
      </w:r>
      <w:r w:rsidR="00CF272C" w:rsidRPr="0070173A">
        <w:rPr>
          <w:rFonts w:eastAsia="Times New Roman" w:cstheme="minorHAnsi"/>
          <w:sz w:val="24"/>
          <w:szCs w:val="24"/>
          <w:lang w:eastAsia="cs-CZ"/>
        </w:rPr>
        <w:t>.</w:t>
      </w:r>
    </w:p>
    <w:p w:rsidR="008278E2" w:rsidRPr="0070173A" w:rsidRDefault="008278E2" w:rsidP="00533C34">
      <w:pPr>
        <w:spacing w:after="100" w:afterAutospacing="1" w:line="240" w:lineRule="auto"/>
        <w:jc w:val="both"/>
        <w:rPr>
          <w:rFonts w:eastAsia="Times New Roman" w:cstheme="minorHAnsi"/>
          <w:sz w:val="24"/>
          <w:szCs w:val="24"/>
          <w:lang w:eastAsia="cs-CZ"/>
        </w:rPr>
      </w:pPr>
      <w:r w:rsidRPr="0070173A">
        <w:rPr>
          <w:rFonts w:eastAsia="Times New Roman" w:cstheme="minorHAnsi"/>
          <w:sz w:val="24"/>
          <w:szCs w:val="24"/>
          <w:lang w:eastAsia="cs-CZ"/>
        </w:rPr>
        <w:t>Doba odpisování činí dle § 30 zákona </w:t>
      </w:r>
      <w:r w:rsidRPr="0070173A">
        <w:rPr>
          <w:rFonts w:eastAsia="Times New Roman" w:cstheme="minorHAnsi"/>
          <w:b/>
          <w:bCs/>
          <w:sz w:val="24"/>
          <w:szCs w:val="24"/>
          <w:lang w:eastAsia="cs-CZ"/>
        </w:rPr>
        <w:t>minimálně:</w:t>
      </w:r>
    </w:p>
    <w:tbl>
      <w:tblPr>
        <w:tblStyle w:val="Mkatabulky"/>
        <w:tblW w:w="5000" w:type="pct"/>
        <w:tblLook w:val="04A0" w:firstRow="1" w:lastRow="0" w:firstColumn="1" w:lastColumn="0" w:noHBand="0" w:noVBand="1"/>
      </w:tblPr>
      <w:tblGrid>
        <w:gridCol w:w="4531"/>
        <w:gridCol w:w="4531"/>
      </w:tblGrid>
      <w:tr w:rsidR="008278E2" w:rsidRPr="0070173A" w:rsidTr="0070173A">
        <w:trPr>
          <w:trHeight w:val="501"/>
        </w:trPr>
        <w:tc>
          <w:tcPr>
            <w:tcW w:w="2500" w:type="pct"/>
            <w:shd w:val="clear" w:color="auto" w:fill="F2F2F2" w:themeFill="background1" w:themeFillShade="F2"/>
            <w:noWrap/>
            <w:vAlign w:val="center"/>
            <w:hideMark/>
          </w:tcPr>
          <w:p w:rsidR="008278E2" w:rsidRPr="0070173A" w:rsidRDefault="008278E2" w:rsidP="008278E2">
            <w:pPr>
              <w:spacing w:after="100" w:afterAutospacing="1"/>
              <w:jc w:val="center"/>
              <w:rPr>
                <w:rFonts w:eastAsia="Times New Roman" w:cstheme="minorHAnsi"/>
                <w:b/>
                <w:bCs/>
                <w:sz w:val="24"/>
                <w:szCs w:val="24"/>
                <w:lang w:eastAsia="cs-CZ"/>
              </w:rPr>
            </w:pPr>
            <w:r w:rsidRPr="0070173A">
              <w:rPr>
                <w:rFonts w:eastAsia="Times New Roman" w:cstheme="minorHAnsi"/>
                <w:b/>
                <w:bCs/>
                <w:sz w:val="24"/>
                <w:szCs w:val="24"/>
                <w:lang w:eastAsia="cs-CZ"/>
              </w:rPr>
              <w:t>Odpisová skupina</w:t>
            </w:r>
          </w:p>
        </w:tc>
        <w:tc>
          <w:tcPr>
            <w:tcW w:w="2500" w:type="pct"/>
            <w:shd w:val="clear" w:color="auto" w:fill="F2F2F2" w:themeFill="background1" w:themeFillShade="F2"/>
            <w:vAlign w:val="center"/>
          </w:tcPr>
          <w:p w:rsidR="008278E2" w:rsidRPr="0070173A" w:rsidRDefault="008278E2" w:rsidP="008278E2">
            <w:pPr>
              <w:spacing w:after="100" w:afterAutospacing="1"/>
              <w:jc w:val="center"/>
              <w:rPr>
                <w:rFonts w:eastAsia="Times New Roman" w:cstheme="minorHAnsi"/>
                <w:b/>
                <w:bCs/>
                <w:sz w:val="24"/>
                <w:szCs w:val="24"/>
                <w:lang w:eastAsia="cs-CZ"/>
              </w:rPr>
            </w:pPr>
            <w:r w:rsidRPr="0070173A">
              <w:rPr>
                <w:rFonts w:eastAsia="Times New Roman" w:cstheme="minorHAnsi"/>
                <w:b/>
                <w:bCs/>
                <w:sz w:val="24"/>
                <w:szCs w:val="24"/>
                <w:lang w:eastAsia="cs-CZ"/>
              </w:rPr>
              <w:t>Doba odpisování</w:t>
            </w:r>
          </w:p>
        </w:tc>
      </w:tr>
      <w:tr w:rsidR="008278E2" w:rsidRPr="0070173A" w:rsidTr="0070173A">
        <w:tc>
          <w:tcPr>
            <w:tcW w:w="2500" w:type="pct"/>
            <w:shd w:val="clear" w:color="auto" w:fill="F2F2F2" w:themeFill="background1" w:themeFillShade="F2"/>
            <w:noWrap/>
            <w:hideMark/>
          </w:tcPr>
          <w:p w:rsidR="008278E2" w:rsidRPr="0070173A" w:rsidRDefault="008278E2" w:rsidP="008278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0</w:t>
            </w:r>
          </w:p>
        </w:tc>
        <w:tc>
          <w:tcPr>
            <w:tcW w:w="2500" w:type="pct"/>
            <w:noWrap/>
            <w:hideMark/>
          </w:tcPr>
          <w:p w:rsidR="008278E2" w:rsidRPr="0070173A" w:rsidRDefault="008278E2" w:rsidP="008278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neodpisováno</w:t>
            </w:r>
          </w:p>
        </w:tc>
      </w:tr>
      <w:tr w:rsidR="008278E2" w:rsidRPr="0070173A" w:rsidTr="0070173A">
        <w:tc>
          <w:tcPr>
            <w:tcW w:w="2500" w:type="pct"/>
            <w:shd w:val="clear" w:color="auto" w:fill="F2F2F2" w:themeFill="background1" w:themeFillShade="F2"/>
            <w:noWrap/>
            <w:hideMark/>
          </w:tcPr>
          <w:p w:rsidR="008278E2" w:rsidRPr="0070173A" w:rsidRDefault="008278E2" w:rsidP="008278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1</w:t>
            </w:r>
          </w:p>
        </w:tc>
        <w:tc>
          <w:tcPr>
            <w:tcW w:w="2500" w:type="pct"/>
            <w:noWrap/>
            <w:hideMark/>
          </w:tcPr>
          <w:p w:rsidR="008278E2" w:rsidRPr="0070173A" w:rsidRDefault="008278E2" w:rsidP="008278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 3 roky</w:t>
            </w:r>
          </w:p>
        </w:tc>
      </w:tr>
      <w:tr w:rsidR="008278E2" w:rsidRPr="0070173A" w:rsidTr="0070173A">
        <w:tc>
          <w:tcPr>
            <w:tcW w:w="2500" w:type="pct"/>
            <w:shd w:val="clear" w:color="auto" w:fill="F2F2F2" w:themeFill="background1" w:themeFillShade="F2"/>
            <w:noWrap/>
            <w:hideMark/>
          </w:tcPr>
          <w:p w:rsidR="008278E2" w:rsidRPr="0070173A" w:rsidRDefault="008278E2" w:rsidP="008278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2</w:t>
            </w:r>
          </w:p>
        </w:tc>
        <w:tc>
          <w:tcPr>
            <w:tcW w:w="2500" w:type="pct"/>
            <w:noWrap/>
            <w:hideMark/>
          </w:tcPr>
          <w:p w:rsidR="008278E2" w:rsidRPr="0070173A" w:rsidRDefault="008278E2" w:rsidP="008278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 5    let</w:t>
            </w:r>
          </w:p>
        </w:tc>
      </w:tr>
      <w:tr w:rsidR="008278E2" w:rsidRPr="0070173A" w:rsidTr="0070173A">
        <w:tc>
          <w:tcPr>
            <w:tcW w:w="2500" w:type="pct"/>
            <w:shd w:val="clear" w:color="auto" w:fill="F2F2F2" w:themeFill="background1" w:themeFillShade="F2"/>
            <w:noWrap/>
            <w:hideMark/>
          </w:tcPr>
          <w:p w:rsidR="008278E2" w:rsidRPr="0070173A" w:rsidRDefault="008278E2" w:rsidP="008278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3</w:t>
            </w:r>
          </w:p>
        </w:tc>
        <w:tc>
          <w:tcPr>
            <w:tcW w:w="2500" w:type="pct"/>
            <w:noWrap/>
            <w:hideMark/>
          </w:tcPr>
          <w:p w:rsidR="008278E2" w:rsidRPr="0070173A" w:rsidRDefault="008278E2" w:rsidP="008278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10   let</w:t>
            </w:r>
          </w:p>
        </w:tc>
      </w:tr>
      <w:tr w:rsidR="008278E2" w:rsidRPr="0070173A" w:rsidTr="0070173A">
        <w:tc>
          <w:tcPr>
            <w:tcW w:w="2500" w:type="pct"/>
            <w:shd w:val="clear" w:color="auto" w:fill="F2F2F2" w:themeFill="background1" w:themeFillShade="F2"/>
            <w:noWrap/>
            <w:hideMark/>
          </w:tcPr>
          <w:p w:rsidR="008278E2" w:rsidRPr="0070173A" w:rsidRDefault="008278E2" w:rsidP="008278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4</w:t>
            </w:r>
          </w:p>
        </w:tc>
        <w:tc>
          <w:tcPr>
            <w:tcW w:w="2500" w:type="pct"/>
            <w:noWrap/>
            <w:hideMark/>
          </w:tcPr>
          <w:p w:rsidR="008278E2" w:rsidRPr="0070173A" w:rsidRDefault="008278E2" w:rsidP="008278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20   let</w:t>
            </w:r>
          </w:p>
        </w:tc>
      </w:tr>
      <w:tr w:rsidR="008278E2" w:rsidRPr="0070173A" w:rsidTr="0070173A">
        <w:tc>
          <w:tcPr>
            <w:tcW w:w="2500" w:type="pct"/>
            <w:shd w:val="clear" w:color="auto" w:fill="F2F2F2" w:themeFill="background1" w:themeFillShade="F2"/>
            <w:noWrap/>
            <w:hideMark/>
          </w:tcPr>
          <w:p w:rsidR="008278E2" w:rsidRPr="0070173A" w:rsidRDefault="008278E2" w:rsidP="008278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5</w:t>
            </w:r>
          </w:p>
        </w:tc>
        <w:tc>
          <w:tcPr>
            <w:tcW w:w="2500" w:type="pct"/>
            <w:noWrap/>
            <w:hideMark/>
          </w:tcPr>
          <w:p w:rsidR="008278E2" w:rsidRPr="0070173A" w:rsidRDefault="008278E2" w:rsidP="008278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30   let</w:t>
            </w:r>
          </w:p>
        </w:tc>
      </w:tr>
      <w:tr w:rsidR="008278E2" w:rsidRPr="0070173A" w:rsidTr="0070173A">
        <w:tc>
          <w:tcPr>
            <w:tcW w:w="2500" w:type="pct"/>
            <w:shd w:val="clear" w:color="auto" w:fill="F2F2F2" w:themeFill="background1" w:themeFillShade="F2"/>
            <w:noWrap/>
            <w:hideMark/>
          </w:tcPr>
          <w:p w:rsidR="008278E2" w:rsidRPr="0070173A" w:rsidRDefault="008278E2" w:rsidP="008278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6</w:t>
            </w:r>
          </w:p>
        </w:tc>
        <w:tc>
          <w:tcPr>
            <w:tcW w:w="2500" w:type="pct"/>
            <w:noWrap/>
            <w:hideMark/>
          </w:tcPr>
          <w:p w:rsidR="008278E2" w:rsidRPr="0070173A" w:rsidRDefault="008278E2" w:rsidP="008278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50   let</w:t>
            </w:r>
          </w:p>
        </w:tc>
      </w:tr>
    </w:tbl>
    <w:p w:rsidR="00211542" w:rsidRPr="0070173A" w:rsidRDefault="00211542" w:rsidP="008278E2">
      <w:pPr>
        <w:spacing w:after="100" w:afterAutospacing="1" w:line="240" w:lineRule="auto"/>
        <w:rPr>
          <w:rFonts w:eastAsia="Times New Roman" w:cstheme="minorHAnsi"/>
          <w:sz w:val="24"/>
          <w:szCs w:val="24"/>
          <w:lang w:eastAsia="cs-CZ"/>
        </w:rPr>
      </w:pPr>
    </w:p>
    <w:p w:rsidR="00211542" w:rsidRPr="0070173A" w:rsidRDefault="00211542" w:rsidP="008278E2">
      <w:pPr>
        <w:spacing w:after="100" w:afterAutospacing="1" w:line="240" w:lineRule="auto"/>
        <w:rPr>
          <w:rFonts w:eastAsia="Times New Roman" w:cstheme="minorHAnsi"/>
          <w:sz w:val="24"/>
          <w:szCs w:val="24"/>
          <w:lang w:eastAsia="cs-CZ"/>
        </w:rPr>
      </w:pPr>
    </w:p>
    <w:p w:rsidR="00211542" w:rsidRPr="0070173A" w:rsidRDefault="00211542" w:rsidP="008278E2">
      <w:pPr>
        <w:spacing w:after="100" w:afterAutospacing="1" w:line="240" w:lineRule="auto"/>
        <w:rPr>
          <w:rFonts w:eastAsia="Times New Roman" w:cstheme="minorHAnsi"/>
          <w:sz w:val="24"/>
          <w:szCs w:val="24"/>
          <w:lang w:eastAsia="cs-CZ"/>
        </w:rPr>
      </w:pPr>
    </w:p>
    <w:p w:rsidR="008278E2" w:rsidRPr="0070173A" w:rsidRDefault="008278E2" w:rsidP="00533C34">
      <w:pPr>
        <w:spacing w:after="100" w:afterAutospacing="1" w:line="240" w:lineRule="auto"/>
        <w:jc w:val="both"/>
        <w:rPr>
          <w:rFonts w:eastAsia="Times New Roman" w:cstheme="minorHAnsi"/>
          <w:sz w:val="24"/>
          <w:szCs w:val="24"/>
          <w:lang w:eastAsia="cs-CZ"/>
        </w:rPr>
      </w:pPr>
      <w:r w:rsidRPr="0070173A">
        <w:rPr>
          <w:rFonts w:eastAsia="Times New Roman" w:cstheme="minorHAnsi"/>
          <w:sz w:val="24"/>
          <w:szCs w:val="24"/>
          <w:lang w:eastAsia="cs-CZ"/>
        </w:rPr>
        <w:lastRenderedPageBreak/>
        <w:t>Odpisovým skupinám jsou přiřazeny dle § 31 zákona tyto maximální roční odpisové sazby:</w:t>
      </w:r>
    </w:p>
    <w:p w:rsidR="008278E2" w:rsidRPr="0070173A" w:rsidRDefault="008278E2" w:rsidP="00533C34">
      <w:pPr>
        <w:spacing w:after="100" w:afterAutospacing="1" w:line="240" w:lineRule="auto"/>
        <w:jc w:val="both"/>
        <w:rPr>
          <w:rFonts w:eastAsia="Times New Roman" w:cstheme="minorHAnsi"/>
          <w:sz w:val="24"/>
          <w:szCs w:val="24"/>
          <w:lang w:eastAsia="cs-CZ"/>
        </w:rPr>
      </w:pPr>
      <w:r w:rsidRPr="0070173A">
        <w:rPr>
          <w:rFonts w:eastAsia="Times New Roman" w:cstheme="minorHAnsi"/>
          <w:b/>
          <w:bCs/>
          <w:sz w:val="24"/>
          <w:szCs w:val="24"/>
          <w:lang w:eastAsia="cs-CZ"/>
        </w:rPr>
        <w:t>Stanovená procenta odpisů</w:t>
      </w:r>
      <w:r w:rsidR="00211542" w:rsidRPr="0070173A">
        <w:rPr>
          <w:rFonts w:eastAsia="Times New Roman" w:cstheme="minorHAnsi"/>
          <w:b/>
          <w:bCs/>
          <w:sz w:val="24"/>
          <w:szCs w:val="24"/>
          <w:lang w:eastAsia="cs-CZ"/>
        </w:rPr>
        <w:t xml:space="preserve"> při rovnoměrném odpisování</w:t>
      </w:r>
    </w:p>
    <w:tbl>
      <w:tblPr>
        <w:tblStyle w:val="Mkatabulky"/>
        <w:tblW w:w="5000" w:type="pct"/>
        <w:tblLook w:val="04A0" w:firstRow="1" w:lastRow="0" w:firstColumn="1" w:lastColumn="0" w:noHBand="0" w:noVBand="1"/>
      </w:tblPr>
      <w:tblGrid>
        <w:gridCol w:w="1190"/>
        <w:gridCol w:w="2380"/>
        <w:gridCol w:w="2380"/>
        <w:gridCol w:w="3112"/>
      </w:tblGrid>
      <w:tr w:rsidR="008278E2" w:rsidRPr="0070173A" w:rsidTr="0070173A">
        <w:trPr>
          <w:trHeight w:val="1015"/>
        </w:trPr>
        <w:tc>
          <w:tcPr>
            <w:tcW w:w="657" w:type="pct"/>
            <w:shd w:val="clear" w:color="auto" w:fill="F2F2F2" w:themeFill="background1" w:themeFillShade="F2"/>
            <w:vAlign w:val="center"/>
            <w:hideMark/>
          </w:tcPr>
          <w:p w:rsidR="008278E2" w:rsidRPr="0070173A" w:rsidRDefault="008278E2" w:rsidP="008278E2">
            <w:pPr>
              <w:jc w:val="center"/>
              <w:rPr>
                <w:rFonts w:eastAsia="Times New Roman" w:cstheme="minorHAnsi"/>
                <w:b/>
                <w:bCs/>
                <w:sz w:val="24"/>
                <w:szCs w:val="24"/>
                <w:lang w:eastAsia="cs-CZ"/>
              </w:rPr>
            </w:pPr>
            <w:r w:rsidRPr="0070173A">
              <w:rPr>
                <w:rFonts w:eastAsia="Times New Roman" w:cstheme="minorHAnsi"/>
                <w:b/>
                <w:bCs/>
                <w:sz w:val="24"/>
                <w:szCs w:val="24"/>
                <w:lang w:eastAsia="cs-CZ"/>
              </w:rPr>
              <w:t>Odpisová skupina</w:t>
            </w:r>
          </w:p>
        </w:tc>
        <w:tc>
          <w:tcPr>
            <w:tcW w:w="1313" w:type="pct"/>
            <w:shd w:val="clear" w:color="auto" w:fill="F2F2F2" w:themeFill="background1" w:themeFillShade="F2"/>
            <w:vAlign w:val="center"/>
            <w:hideMark/>
          </w:tcPr>
          <w:p w:rsidR="008278E2" w:rsidRPr="0070173A" w:rsidRDefault="008278E2" w:rsidP="008278E2">
            <w:pPr>
              <w:jc w:val="center"/>
              <w:rPr>
                <w:rFonts w:eastAsia="Times New Roman" w:cstheme="minorHAnsi"/>
                <w:b/>
                <w:bCs/>
                <w:sz w:val="24"/>
                <w:szCs w:val="24"/>
                <w:lang w:eastAsia="cs-CZ"/>
              </w:rPr>
            </w:pPr>
            <w:r w:rsidRPr="0070173A">
              <w:rPr>
                <w:rFonts w:eastAsia="Times New Roman" w:cstheme="minorHAnsi"/>
                <w:b/>
                <w:bCs/>
                <w:sz w:val="24"/>
                <w:szCs w:val="24"/>
                <w:lang w:eastAsia="cs-CZ"/>
              </w:rPr>
              <w:t>V 1. roce</w:t>
            </w:r>
          </w:p>
        </w:tc>
        <w:tc>
          <w:tcPr>
            <w:tcW w:w="1313" w:type="pct"/>
            <w:shd w:val="clear" w:color="auto" w:fill="F2F2F2" w:themeFill="background1" w:themeFillShade="F2"/>
            <w:vAlign w:val="center"/>
            <w:hideMark/>
          </w:tcPr>
          <w:p w:rsidR="008278E2" w:rsidRPr="0070173A" w:rsidRDefault="008278E2" w:rsidP="008278E2">
            <w:pPr>
              <w:jc w:val="center"/>
              <w:rPr>
                <w:rFonts w:eastAsia="Times New Roman" w:cstheme="minorHAnsi"/>
                <w:b/>
                <w:bCs/>
                <w:sz w:val="24"/>
                <w:szCs w:val="24"/>
                <w:lang w:eastAsia="cs-CZ"/>
              </w:rPr>
            </w:pPr>
            <w:r w:rsidRPr="0070173A">
              <w:rPr>
                <w:rFonts w:eastAsia="Times New Roman" w:cstheme="minorHAnsi"/>
                <w:b/>
                <w:bCs/>
                <w:sz w:val="24"/>
                <w:szCs w:val="24"/>
                <w:lang w:eastAsia="cs-CZ"/>
              </w:rPr>
              <w:t>V dalších letech</w:t>
            </w:r>
          </w:p>
        </w:tc>
        <w:tc>
          <w:tcPr>
            <w:tcW w:w="1717" w:type="pct"/>
            <w:shd w:val="clear" w:color="auto" w:fill="F2F2F2" w:themeFill="background1" w:themeFillShade="F2"/>
            <w:vAlign w:val="center"/>
            <w:hideMark/>
          </w:tcPr>
          <w:p w:rsidR="008278E2" w:rsidRPr="0070173A" w:rsidRDefault="008278E2" w:rsidP="008278E2">
            <w:pPr>
              <w:jc w:val="center"/>
              <w:rPr>
                <w:rFonts w:eastAsia="Times New Roman" w:cstheme="minorHAnsi"/>
                <w:b/>
                <w:bCs/>
                <w:sz w:val="24"/>
                <w:szCs w:val="24"/>
                <w:lang w:eastAsia="cs-CZ"/>
              </w:rPr>
            </w:pPr>
            <w:r w:rsidRPr="0070173A">
              <w:rPr>
                <w:rFonts w:eastAsia="Times New Roman" w:cstheme="minorHAnsi"/>
                <w:b/>
                <w:bCs/>
                <w:sz w:val="24"/>
                <w:szCs w:val="24"/>
                <w:lang w:eastAsia="cs-CZ"/>
              </w:rPr>
              <w:t>Při technickém zhodnocení (pro zvýšenou vstupní cenu)</w:t>
            </w:r>
          </w:p>
        </w:tc>
      </w:tr>
      <w:tr w:rsidR="008278E2" w:rsidRPr="0070173A" w:rsidTr="0070173A">
        <w:tc>
          <w:tcPr>
            <w:tcW w:w="657" w:type="pct"/>
            <w:shd w:val="clear" w:color="auto" w:fill="F2F2F2" w:themeFill="background1" w:themeFillShade="F2"/>
            <w:hideMark/>
          </w:tcPr>
          <w:p w:rsidR="008278E2" w:rsidRPr="0070173A" w:rsidRDefault="008278E2" w:rsidP="008278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1</w:t>
            </w:r>
          </w:p>
        </w:tc>
        <w:tc>
          <w:tcPr>
            <w:tcW w:w="1313" w:type="pct"/>
            <w:hideMark/>
          </w:tcPr>
          <w:p w:rsidR="008278E2" w:rsidRPr="0070173A" w:rsidRDefault="008278E2" w:rsidP="008278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20</w:t>
            </w:r>
            <w:r w:rsidR="00533C34" w:rsidRPr="0070173A">
              <w:rPr>
                <w:rFonts w:eastAsia="Times New Roman" w:cstheme="minorHAnsi"/>
                <w:sz w:val="24"/>
                <w:szCs w:val="24"/>
                <w:lang w:eastAsia="cs-CZ"/>
              </w:rPr>
              <w:t xml:space="preserve"> %</w:t>
            </w:r>
          </w:p>
        </w:tc>
        <w:tc>
          <w:tcPr>
            <w:tcW w:w="1313" w:type="pct"/>
            <w:hideMark/>
          </w:tcPr>
          <w:p w:rsidR="008278E2" w:rsidRPr="0070173A" w:rsidRDefault="008278E2" w:rsidP="008278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40</w:t>
            </w:r>
            <w:r w:rsidR="00533C34" w:rsidRPr="0070173A">
              <w:rPr>
                <w:rFonts w:eastAsia="Times New Roman" w:cstheme="minorHAnsi"/>
                <w:sz w:val="24"/>
                <w:szCs w:val="24"/>
                <w:lang w:eastAsia="cs-CZ"/>
              </w:rPr>
              <w:t xml:space="preserve"> %</w:t>
            </w:r>
          </w:p>
        </w:tc>
        <w:tc>
          <w:tcPr>
            <w:tcW w:w="1717" w:type="pct"/>
            <w:hideMark/>
          </w:tcPr>
          <w:p w:rsidR="008278E2" w:rsidRPr="0070173A" w:rsidRDefault="008278E2" w:rsidP="008278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33,3</w:t>
            </w:r>
            <w:r w:rsidR="00533C34" w:rsidRPr="0070173A">
              <w:rPr>
                <w:rFonts w:eastAsia="Times New Roman" w:cstheme="minorHAnsi"/>
                <w:sz w:val="24"/>
                <w:szCs w:val="24"/>
                <w:lang w:eastAsia="cs-CZ"/>
              </w:rPr>
              <w:t xml:space="preserve"> %</w:t>
            </w:r>
          </w:p>
        </w:tc>
      </w:tr>
      <w:tr w:rsidR="008278E2" w:rsidRPr="0070173A" w:rsidTr="0070173A">
        <w:tc>
          <w:tcPr>
            <w:tcW w:w="657" w:type="pct"/>
            <w:shd w:val="clear" w:color="auto" w:fill="F2F2F2" w:themeFill="background1" w:themeFillShade="F2"/>
            <w:hideMark/>
          </w:tcPr>
          <w:p w:rsidR="008278E2" w:rsidRPr="0070173A" w:rsidRDefault="008278E2" w:rsidP="008278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2</w:t>
            </w:r>
          </w:p>
        </w:tc>
        <w:tc>
          <w:tcPr>
            <w:tcW w:w="1313" w:type="pct"/>
            <w:hideMark/>
          </w:tcPr>
          <w:p w:rsidR="008278E2" w:rsidRPr="0070173A" w:rsidRDefault="008278E2" w:rsidP="008278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11</w:t>
            </w:r>
            <w:r w:rsidR="00533C34" w:rsidRPr="0070173A">
              <w:rPr>
                <w:rFonts w:eastAsia="Times New Roman" w:cstheme="minorHAnsi"/>
                <w:sz w:val="24"/>
                <w:szCs w:val="24"/>
                <w:lang w:eastAsia="cs-CZ"/>
              </w:rPr>
              <w:t xml:space="preserve"> %</w:t>
            </w:r>
          </w:p>
        </w:tc>
        <w:tc>
          <w:tcPr>
            <w:tcW w:w="1313" w:type="pct"/>
            <w:hideMark/>
          </w:tcPr>
          <w:p w:rsidR="008278E2" w:rsidRPr="0070173A" w:rsidRDefault="008278E2" w:rsidP="008278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22,25</w:t>
            </w:r>
            <w:r w:rsidR="00533C34" w:rsidRPr="0070173A">
              <w:rPr>
                <w:rFonts w:eastAsia="Times New Roman" w:cstheme="minorHAnsi"/>
                <w:sz w:val="24"/>
                <w:szCs w:val="24"/>
                <w:lang w:eastAsia="cs-CZ"/>
              </w:rPr>
              <w:t xml:space="preserve"> %</w:t>
            </w:r>
          </w:p>
        </w:tc>
        <w:tc>
          <w:tcPr>
            <w:tcW w:w="1717" w:type="pct"/>
            <w:hideMark/>
          </w:tcPr>
          <w:p w:rsidR="008278E2" w:rsidRPr="0070173A" w:rsidRDefault="008278E2" w:rsidP="008278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20</w:t>
            </w:r>
            <w:r w:rsidR="00533C34" w:rsidRPr="0070173A">
              <w:rPr>
                <w:rFonts w:eastAsia="Times New Roman" w:cstheme="minorHAnsi"/>
                <w:sz w:val="24"/>
                <w:szCs w:val="24"/>
                <w:lang w:eastAsia="cs-CZ"/>
              </w:rPr>
              <w:t xml:space="preserve"> %</w:t>
            </w:r>
          </w:p>
        </w:tc>
      </w:tr>
      <w:tr w:rsidR="008278E2" w:rsidRPr="0070173A" w:rsidTr="0070173A">
        <w:tc>
          <w:tcPr>
            <w:tcW w:w="657" w:type="pct"/>
            <w:shd w:val="clear" w:color="auto" w:fill="F2F2F2" w:themeFill="background1" w:themeFillShade="F2"/>
            <w:hideMark/>
          </w:tcPr>
          <w:p w:rsidR="008278E2" w:rsidRPr="0070173A" w:rsidRDefault="008278E2" w:rsidP="008278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3</w:t>
            </w:r>
          </w:p>
        </w:tc>
        <w:tc>
          <w:tcPr>
            <w:tcW w:w="1313" w:type="pct"/>
            <w:hideMark/>
          </w:tcPr>
          <w:p w:rsidR="008278E2" w:rsidRPr="0070173A" w:rsidRDefault="008278E2" w:rsidP="008278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5,5</w:t>
            </w:r>
            <w:r w:rsidR="00533C34" w:rsidRPr="0070173A">
              <w:rPr>
                <w:rFonts w:eastAsia="Times New Roman" w:cstheme="minorHAnsi"/>
                <w:sz w:val="24"/>
                <w:szCs w:val="24"/>
                <w:lang w:eastAsia="cs-CZ"/>
              </w:rPr>
              <w:t xml:space="preserve"> %</w:t>
            </w:r>
          </w:p>
        </w:tc>
        <w:tc>
          <w:tcPr>
            <w:tcW w:w="1313" w:type="pct"/>
            <w:hideMark/>
          </w:tcPr>
          <w:p w:rsidR="008278E2" w:rsidRPr="0070173A" w:rsidRDefault="008278E2" w:rsidP="008278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10,5</w:t>
            </w:r>
            <w:r w:rsidR="00533C34" w:rsidRPr="0070173A">
              <w:rPr>
                <w:rFonts w:eastAsia="Times New Roman" w:cstheme="minorHAnsi"/>
                <w:sz w:val="24"/>
                <w:szCs w:val="24"/>
                <w:lang w:eastAsia="cs-CZ"/>
              </w:rPr>
              <w:t xml:space="preserve"> %</w:t>
            </w:r>
          </w:p>
        </w:tc>
        <w:tc>
          <w:tcPr>
            <w:tcW w:w="1717" w:type="pct"/>
            <w:hideMark/>
          </w:tcPr>
          <w:p w:rsidR="008278E2" w:rsidRPr="0070173A" w:rsidRDefault="008278E2" w:rsidP="008278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10</w:t>
            </w:r>
            <w:r w:rsidR="00533C34" w:rsidRPr="0070173A">
              <w:rPr>
                <w:rFonts w:eastAsia="Times New Roman" w:cstheme="minorHAnsi"/>
                <w:sz w:val="24"/>
                <w:szCs w:val="24"/>
                <w:lang w:eastAsia="cs-CZ"/>
              </w:rPr>
              <w:t xml:space="preserve"> %</w:t>
            </w:r>
          </w:p>
        </w:tc>
      </w:tr>
      <w:tr w:rsidR="008278E2" w:rsidRPr="0070173A" w:rsidTr="0070173A">
        <w:tc>
          <w:tcPr>
            <w:tcW w:w="657" w:type="pct"/>
            <w:shd w:val="clear" w:color="auto" w:fill="F2F2F2" w:themeFill="background1" w:themeFillShade="F2"/>
            <w:hideMark/>
          </w:tcPr>
          <w:p w:rsidR="008278E2" w:rsidRPr="0070173A" w:rsidRDefault="008278E2" w:rsidP="008278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4</w:t>
            </w:r>
          </w:p>
        </w:tc>
        <w:tc>
          <w:tcPr>
            <w:tcW w:w="1313" w:type="pct"/>
            <w:hideMark/>
          </w:tcPr>
          <w:p w:rsidR="008278E2" w:rsidRPr="0070173A" w:rsidRDefault="008278E2" w:rsidP="008278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2,15</w:t>
            </w:r>
            <w:r w:rsidR="00533C34" w:rsidRPr="0070173A">
              <w:rPr>
                <w:rFonts w:eastAsia="Times New Roman" w:cstheme="minorHAnsi"/>
                <w:sz w:val="24"/>
                <w:szCs w:val="24"/>
                <w:lang w:eastAsia="cs-CZ"/>
              </w:rPr>
              <w:t xml:space="preserve"> %</w:t>
            </w:r>
          </w:p>
        </w:tc>
        <w:tc>
          <w:tcPr>
            <w:tcW w:w="1313" w:type="pct"/>
            <w:hideMark/>
          </w:tcPr>
          <w:p w:rsidR="008278E2" w:rsidRPr="0070173A" w:rsidRDefault="008278E2" w:rsidP="008278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5,15</w:t>
            </w:r>
            <w:r w:rsidR="00533C34" w:rsidRPr="0070173A">
              <w:rPr>
                <w:rFonts w:eastAsia="Times New Roman" w:cstheme="minorHAnsi"/>
                <w:sz w:val="24"/>
                <w:szCs w:val="24"/>
                <w:lang w:eastAsia="cs-CZ"/>
              </w:rPr>
              <w:t xml:space="preserve"> %</w:t>
            </w:r>
          </w:p>
        </w:tc>
        <w:tc>
          <w:tcPr>
            <w:tcW w:w="1717" w:type="pct"/>
            <w:hideMark/>
          </w:tcPr>
          <w:p w:rsidR="008278E2" w:rsidRPr="0070173A" w:rsidRDefault="008278E2" w:rsidP="008278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5</w:t>
            </w:r>
            <w:r w:rsidR="00533C34" w:rsidRPr="0070173A">
              <w:rPr>
                <w:rFonts w:eastAsia="Times New Roman" w:cstheme="minorHAnsi"/>
                <w:sz w:val="24"/>
                <w:szCs w:val="24"/>
                <w:lang w:eastAsia="cs-CZ"/>
              </w:rPr>
              <w:t xml:space="preserve"> %</w:t>
            </w:r>
          </w:p>
        </w:tc>
      </w:tr>
      <w:tr w:rsidR="008278E2" w:rsidRPr="0070173A" w:rsidTr="0070173A">
        <w:tc>
          <w:tcPr>
            <w:tcW w:w="657" w:type="pct"/>
            <w:shd w:val="clear" w:color="auto" w:fill="F2F2F2" w:themeFill="background1" w:themeFillShade="F2"/>
            <w:hideMark/>
          </w:tcPr>
          <w:p w:rsidR="008278E2" w:rsidRPr="0070173A" w:rsidRDefault="008278E2" w:rsidP="008278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5</w:t>
            </w:r>
          </w:p>
        </w:tc>
        <w:tc>
          <w:tcPr>
            <w:tcW w:w="1313" w:type="pct"/>
            <w:hideMark/>
          </w:tcPr>
          <w:p w:rsidR="008278E2" w:rsidRPr="0070173A" w:rsidRDefault="008278E2" w:rsidP="008278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1,4</w:t>
            </w:r>
            <w:r w:rsidR="00533C34" w:rsidRPr="0070173A">
              <w:rPr>
                <w:rFonts w:eastAsia="Times New Roman" w:cstheme="minorHAnsi"/>
                <w:sz w:val="24"/>
                <w:szCs w:val="24"/>
                <w:lang w:eastAsia="cs-CZ"/>
              </w:rPr>
              <w:t xml:space="preserve"> %</w:t>
            </w:r>
          </w:p>
        </w:tc>
        <w:tc>
          <w:tcPr>
            <w:tcW w:w="1313" w:type="pct"/>
            <w:hideMark/>
          </w:tcPr>
          <w:p w:rsidR="008278E2" w:rsidRPr="0070173A" w:rsidRDefault="008278E2" w:rsidP="008278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3,4</w:t>
            </w:r>
            <w:r w:rsidR="00533C34" w:rsidRPr="0070173A">
              <w:rPr>
                <w:rFonts w:eastAsia="Times New Roman" w:cstheme="minorHAnsi"/>
                <w:sz w:val="24"/>
                <w:szCs w:val="24"/>
                <w:lang w:eastAsia="cs-CZ"/>
              </w:rPr>
              <w:t xml:space="preserve"> %</w:t>
            </w:r>
          </w:p>
        </w:tc>
        <w:tc>
          <w:tcPr>
            <w:tcW w:w="1717" w:type="pct"/>
            <w:hideMark/>
          </w:tcPr>
          <w:p w:rsidR="008278E2" w:rsidRPr="0070173A" w:rsidRDefault="008278E2" w:rsidP="008278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3,4</w:t>
            </w:r>
            <w:r w:rsidR="00533C34" w:rsidRPr="0070173A">
              <w:rPr>
                <w:rFonts w:eastAsia="Times New Roman" w:cstheme="minorHAnsi"/>
                <w:sz w:val="24"/>
                <w:szCs w:val="24"/>
                <w:lang w:eastAsia="cs-CZ"/>
              </w:rPr>
              <w:t xml:space="preserve"> %</w:t>
            </w:r>
          </w:p>
        </w:tc>
      </w:tr>
      <w:tr w:rsidR="008278E2" w:rsidRPr="0070173A" w:rsidTr="0070173A">
        <w:tc>
          <w:tcPr>
            <w:tcW w:w="657" w:type="pct"/>
            <w:shd w:val="clear" w:color="auto" w:fill="F2F2F2" w:themeFill="background1" w:themeFillShade="F2"/>
            <w:hideMark/>
          </w:tcPr>
          <w:p w:rsidR="008278E2" w:rsidRPr="0070173A" w:rsidRDefault="008278E2" w:rsidP="008278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6</w:t>
            </w:r>
          </w:p>
        </w:tc>
        <w:tc>
          <w:tcPr>
            <w:tcW w:w="1313" w:type="pct"/>
            <w:hideMark/>
          </w:tcPr>
          <w:p w:rsidR="008278E2" w:rsidRPr="0070173A" w:rsidRDefault="008278E2" w:rsidP="008278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1,02</w:t>
            </w:r>
            <w:r w:rsidR="00533C34" w:rsidRPr="0070173A">
              <w:rPr>
                <w:rFonts w:eastAsia="Times New Roman" w:cstheme="minorHAnsi"/>
                <w:sz w:val="24"/>
                <w:szCs w:val="24"/>
                <w:lang w:eastAsia="cs-CZ"/>
              </w:rPr>
              <w:t xml:space="preserve"> %</w:t>
            </w:r>
          </w:p>
        </w:tc>
        <w:tc>
          <w:tcPr>
            <w:tcW w:w="1313" w:type="pct"/>
            <w:hideMark/>
          </w:tcPr>
          <w:p w:rsidR="008278E2" w:rsidRPr="0070173A" w:rsidRDefault="008278E2" w:rsidP="008278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2,02</w:t>
            </w:r>
            <w:r w:rsidR="00533C34" w:rsidRPr="0070173A">
              <w:rPr>
                <w:rFonts w:eastAsia="Times New Roman" w:cstheme="minorHAnsi"/>
                <w:sz w:val="24"/>
                <w:szCs w:val="24"/>
                <w:lang w:eastAsia="cs-CZ"/>
              </w:rPr>
              <w:t xml:space="preserve"> %</w:t>
            </w:r>
          </w:p>
        </w:tc>
        <w:tc>
          <w:tcPr>
            <w:tcW w:w="1717" w:type="pct"/>
            <w:hideMark/>
          </w:tcPr>
          <w:p w:rsidR="008278E2" w:rsidRPr="0070173A" w:rsidRDefault="008278E2" w:rsidP="008278E2">
            <w:pPr>
              <w:spacing w:after="100" w:afterAutospacing="1"/>
              <w:jc w:val="center"/>
              <w:rPr>
                <w:rFonts w:eastAsia="Times New Roman" w:cstheme="minorHAnsi"/>
                <w:sz w:val="24"/>
                <w:szCs w:val="24"/>
                <w:lang w:eastAsia="cs-CZ"/>
              </w:rPr>
            </w:pPr>
            <w:r w:rsidRPr="0070173A">
              <w:rPr>
                <w:rFonts w:eastAsia="Times New Roman" w:cstheme="minorHAnsi"/>
                <w:sz w:val="24"/>
                <w:szCs w:val="24"/>
                <w:lang w:eastAsia="cs-CZ"/>
              </w:rPr>
              <w:t>2</w:t>
            </w:r>
            <w:r w:rsidR="00533C34" w:rsidRPr="0070173A">
              <w:rPr>
                <w:rFonts w:eastAsia="Times New Roman" w:cstheme="minorHAnsi"/>
                <w:sz w:val="24"/>
                <w:szCs w:val="24"/>
                <w:lang w:eastAsia="cs-CZ"/>
              </w:rPr>
              <w:t xml:space="preserve"> %</w:t>
            </w:r>
          </w:p>
        </w:tc>
      </w:tr>
    </w:tbl>
    <w:p w:rsidR="00533C34" w:rsidRPr="0070173A" w:rsidRDefault="00533C34" w:rsidP="00533C34">
      <w:pPr>
        <w:spacing w:after="100" w:afterAutospacing="1" w:line="240" w:lineRule="auto"/>
        <w:jc w:val="both"/>
        <w:rPr>
          <w:rFonts w:eastAsia="Times New Roman" w:cstheme="minorHAnsi"/>
          <w:sz w:val="24"/>
          <w:szCs w:val="24"/>
          <w:lang w:eastAsia="cs-CZ"/>
        </w:rPr>
      </w:pPr>
    </w:p>
    <w:p w:rsidR="007D0D97" w:rsidRPr="0070173A" w:rsidRDefault="007D0D97" w:rsidP="00533C34">
      <w:pPr>
        <w:spacing w:after="100" w:afterAutospacing="1" w:line="240" w:lineRule="auto"/>
        <w:jc w:val="both"/>
        <w:rPr>
          <w:rFonts w:eastAsia="Times New Roman" w:cstheme="minorHAnsi"/>
          <w:sz w:val="24"/>
          <w:szCs w:val="24"/>
          <w:lang w:eastAsia="cs-CZ"/>
        </w:rPr>
      </w:pPr>
      <w:r w:rsidRPr="0070173A">
        <w:rPr>
          <w:rFonts w:eastAsia="Times New Roman" w:cstheme="minorHAnsi"/>
          <w:sz w:val="24"/>
          <w:szCs w:val="24"/>
          <w:lang w:eastAsia="cs-CZ"/>
        </w:rPr>
        <w:t>Stanovená doba odpisování se nevztahuje na hmotný majetek, u něhož došlo v průběhu odpisování k prodloužení doby odpisování. Stavební dílo (dům, budova, stavba) se zařazuje do odpisové skupiny podle jeho hlavního užívání v souladu se zvláštní</w:t>
      </w:r>
      <w:r w:rsidR="007F311F">
        <w:rPr>
          <w:rFonts w:eastAsia="Times New Roman" w:cstheme="minorHAnsi"/>
          <w:sz w:val="24"/>
          <w:szCs w:val="24"/>
          <w:lang w:eastAsia="cs-CZ"/>
        </w:rPr>
        <w:t>m</w:t>
      </w:r>
      <w:r w:rsidRPr="0070173A">
        <w:rPr>
          <w:rFonts w:eastAsia="Times New Roman" w:cstheme="minorHAnsi"/>
          <w:sz w:val="24"/>
          <w:szCs w:val="24"/>
          <w:lang w:eastAsia="cs-CZ"/>
        </w:rPr>
        <w:t xml:space="preserve"> právním předpisem. Hmotný majetek, který nelze zařadit do odpisových skupin podle přílohy č. 1 k tomuto zákonu, zatříděný podle Klasifikace stavebních děl CZ-CC vydané Českým statistickým úřadem se zařadí do odpisové skupiny 5 a ostatní hmotný majetek zatříděný podle klasifikace produkce CZ-CPA se zařadí do odpisové skupiny 2.</w:t>
      </w:r>
    </w:p>
    <w:p w:rsidR="008278E2" w:rsidRPr="0070173A" w:rsidRDefault="008278E2" w:rsidP="00533C34">
      <w:pPr>
        <w:spacing w:after="100" w:afterAutospacing="1" w:line="240" w:lineRule="auto"/>
        <w:jc w:val="both"/>
        <w:rPr>
          <w:rFonts w:eastAsia="Times New Roman" w:cstheme="minorHAnsi"/>
          <w:sz w:val="24"/>
          <w:szCs w:val="24"/>
          <w:lang w:eastAsia="cs-CZ"/>
        </w:rPr>
      </w:pPr>
      <w:r w:rsidRPr="0070173A">
        <w:rPr>
          <w:rFonts w:eastAsia="Times New Roman" w:cstheme="minorHAnsi"/>
          <w:sz w:val="24"/>
          <w:szCs w:val="24"/>
          <w:lang w:eastAsia="cs-CZ"/>
        </w:rPr>
        <w:t xml:space="preserve">Z daňového odpisování je dle </w:t>
      </w:r>
      <w:r w:rsidR="007F311F" w:rsidRPr="0070173A">
        <w:rPr>
          <w:rFonts w:eastAsia="Times New Roman" w:cstheme="minorHAnsi"/>
          <w:sz w:val="24"/>
          <w:szCs w:val="24"/>
          <w:lang w:eastAsia="cs-CZ"/>
        </w:rPr>
        <w:t>§ 29</w:t>
      </w:r>
      <w:r w:rsidR="007F311F">
        <w:rPr>
          <w:rFonts w:eastAsia="Times New Roman" w:cstheme="minorHAnsi"/>
          <w:sz w:val="24"/>
          <w:szCs w:val="24"/>
          <w:lang w:eastAsia="cs-CZ"/>
        </w:rPr>
        <w:t>, odst. 1,</w:t>
      </w:r>
      <w:r w:rsidR="007F311F" w:rsidRPr="0070173A">
        <w:rPr>
          <w:rFonts w:eastAsia="Times New Roman" w:cstheme="minorHAnsi"/>
          <w:sz w:val="24"/>
          <w:szCs w:val="24"/>
          <w:lang w:eastAsia="cs-CZ"/>
        </w:rPr>
        <w:t xml:space="preserve"> </w:t>
      </w:r>
      <w:r w:rsidRPr="0070173A">
        <w:rPr>
          <w:rFonts w:eastAsia="Times New Roman" w:cstheme="minorHAnsi"/>
          <w:sz w:val="24"/>
          <w:szCs w:val="24"/>
          <w:lang w:eastAsia="cs-CZ"/>
        </w:rPr>
        <w:t>písm. f zákona vyloučen majetek, na jehož pořízení byla po 1.1.1997 poskytnuta dotace ze státního rozpočtu. Vstupní cena tohoto majetku se pro potřeby výpočtu daňových odpisů sníží o tuto dotaci.</w:t>
      </w:r>
    </w:p>
    <w:p w:rsidR="008278E2" w:rsidRPr="0070173A" w:rsidRDefault="008278E2" w:rsidP="00533C34">
      <w:pPr>
        <w:spacing w:after="100" w:afterAutospacing="1" w:line="240" w:lineRule="auto"/>
        <w:jc w:val="both"/>
        <w:rPr>
          <w:rFonts w:eastAsia="Times New Roman" w:cstheme="minorHAnsi"/>
          <w:sz w:val="24"/>
          <w:szCs w:val="24"/>
          <w:lang w:eastAsia="cs-CZ"/>
        </w:rPr>
      </w:pPr>
      <w:r w:rsidRPr="0070173A">
        <w:rPr>
          <w:rFonts w:eastAsia="Times New Roman" w:cstheme="minorHAnsi"/>
          <w:sz w:val="24"/>
          <w:szCs w:val="24"/>
          <w:lang w:eastAsia="cs-CZ"/>
        </w:rPr>
        <w:t>Daňové odpisy se stanovují pro účely výpočtu daně z příjmů právnických osob jednou za rok po skončení ročního účetního období.</w:t>
      </w:r>
    </w:p>
    <w:sectPr w:rsidR="008278E2" w:rsidRPr="0070173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6B9" w:rsidRDefault="009956B9" w:rsidP="009956B9">
      <w:pPr>
        <w:spacing w:after="0" w:line="240" w:lineRule="auto"/>
      </w:pPr>
      <w:r>
        <w:separator/>
      </w:r>
    </w:p>
  </w:endnote>
  <w:endnote w:type="continuationSeparator" w:id="0">
    <w:p w:rsidR="009956B9" w:rsidRDefault="009956B9" w:rsidP="00995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6B9" w:rsidRDefault="009956B9" w:rsidP="009956B9">
      <w:pPr>
        <w:spacing w:after="0" w:line="240" w:lineRule="auto"/>
      </w:pPr>
      <w:r>
        <w:separator/>
      </w:r>
    </w:p>
  </w:footnote>
  <w:footnote w:type="continuationSeparator" w:id="0">
    <w:p w:rsidR="009956B9" w:rsidRDefault="009956B9" w:rsidP="00995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6B9" w:rsidRPr="009956B9" w:rsidRDefault="009956B9" w:rsidP="009956B9">
    <w:pPr>
      <w:pStyle w:val="Zhlav"/>
      <w:rPr>
        <w:sz w:val="24"/>
      </w:rPr>
    </w:pPr>
    <w:r w:rsidRPr="009956B9">
      <w:rPr>
        <w:sz w:val="24"/>
      </w:rPr>
      <w:t xml:space="preserve">Příloha č. 5 </w:t>
    </w:r>
    <w:r w:rsidRPr="009956B9">
      <w:rPr>
        <w:sz w:val="24"/>
      </w:rPr>
      <w:tab/>
    </w:r>
    <w:r>
      <w:rPr>
        <w:sz w:val="24"/>
      </w:rPr>
      <w:t xml:space="preserve">                                                        </w:t>
    </w:r>
    <w:r w:rsidRPr="009956B9">
      <w:rPr>
        <w:sz w:val="24"/>
      </w:rPr>
      <w:t>SR 03/2021 Evidence, oceňování a správa majetku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A24FA"/>
    <w:multiLevelType w:val="hybridMultilevel"/>
    <w:tmpl w:val="7B1691B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3A9352A9"/>
    <w:multiLevelType w:val="hybridMultilevel"/>
    <w:tmpl w:val="B2C6EC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E661028"/>
    <w:multiLevelType w:val="hybridMultilevel"/>
    <w:tmpl w:val="22E049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42B7A9D"/>
    <w:multiLevelType w:val="hybridMultilevel"/>
    <w:tmpl w:val="F9BADB6A"/>
    <w:lvl w:ilvl="0" w:tplc="17F204E4">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8E2"/>
    <w:rsid w:val="00211542"/>
    <w:rsid w:val="00364F5B"/>
    <w:rsid w:val="00523A07"/>
    <w:rsid w:val="00533C34"/>
    <w:rsid w:val="00540998"/>
    <w:rsid w:val="005B5CC4"/>
    <w:rsid w:val="006664AF"/>
    <w:rsid w:val="006813CB"/>
    <w:rsid w:val="0070173A"/>
    <w:rsid w:val="007869B2"/>
    <w:rsid w:val="007D0D97"/>
    <w:rsid w:val="007F311F"/>
    <w:rsid w:val="008278E2"/>
    <w:rsid w:val="008434FA"/>
    <w:rsid w:val="009956B9"/>
    <w:rsid w:val="00BC0CB9"/>
    <w:rsid w:val="00BE30CA"/>
    <w:rsid w:val="00C7496D"/>
    <w:rsid w:val="00CA1DE8"/>
    <w:rsid w:val="00CF272C"/>
    <w:rsid w:val="00D056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1508B"/>
  <w15:chartTrackingRefBased/>
  <w15:docId w15:val="{428CDD9C-AB36-447F-A921-4D904A21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70173A"/>
    <w:pPr>
      <w:spacing w:before="100" w:beforeAutospacing="1" w:after="100" w:afterAutospacing="1" w:line="240" w:lineRule="auto"/>
      <w:outlineLvl w:val="0"/>
    </w:pPr>
    <w:rPr>
      <w:rFonts w:eastAsia="Times New Roman" w:cs="Times New Roman"/>
      <w:b/>
      <w:bCs/>
      <w:kern w:val="36"/>
      <w:sz w:val="48"/>
      <w:szCs w:val="48"/>
      <w:lang w:eastAsia="cs-CZ"/>
    </w:rPr>
  </w:style>
  <w:style w:type="paragraph" w:styleId="Nadpis2">
    <w:name w:val="heading 2"/>
    <w:basedOn w:val="Normln"/>
    <w:link w:val="Nadpis2Char"/>
    <w:uiPriority w:val="9"/>
    <w:qFormat/>
    <w:rsid w:val="008278E2"/>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173A"/>
    <w:rPr>
      <w:rFonts w:eastAsia="Times New Roman" w:cs="Times New Roman"/>
      <w:b/>
      <w:bCs/>
      <w:kern w:val="36"/>
      <w:sz w:val="48"/>
      <w:szCs w:val="48"/>
      <w:lang w:eastAsia="cs-CZ"/>
    </w:rPr>
  </w:style>
  <w:style w:type="character" w:customStyle="1" w:styleId="Nadpis2Char">
    <w:name w:val="Nadpis 2 Char"/>
    <w:basedOn w:val="Standardnpsmoodstavce"/>
    <w:link w:val="Nadpis2"/>
    <w:uiPriority w:val="9"/>
    <w:rsid w:val="008278E2"/>
    <w:rPr>
      <w:rFonts w:ascii="Times New Roman" w:eastAsia="Times New Roman" w:hAnsi="Times New Roman" w:cs="Times New Roman"/>
      <w:b/>
      <w:bCs/>
      <w:sz w:val="36"/>
      <w:szCs w:val="36"/>
      <w:lang w:eastAsia="cs-CZ"/>
    </w:rPr>
  </w:style>
  <w:style w:type="paragraph" w:customStyle="1" w:styleId="mb-2">
    <w:name w:val="mb-2"/>
    <w:basedOn w:val="Normln"/>
    <w:rsid w:val="008278E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8278E2"/>
    <w:rPr>
      <w:i/>
      <w:iCs/>
    </w:rPr>
  </w:style>
  <w:style w:type="paragraph" w:styleId="Normlnweb">
    <w:name w:val="Normal (Web)"/>
    <w:basedOn w:val="Normln"/>
    <w:uiPriority w:val="99"/>
    <w:semiHidden/>
    <w:unhideWhenUsed/>
    <w:rsid w:val="008278E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278E2"/>
    <w:rPr>
      <w:b/>
      <w:bCs/>
    </w:rPr>
  </w:style>
  <w:style w:type="table" w:styleId="Mkatabulky">
    <w:name w:val="Table Grid"/>
    <w:basedOn w:val="Normlntabulka"/>
    <w:uiPriority w:val="39"/>
    <w:rsid w:val="00827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A1DE8"/>
    <w:pPr>
      <w:ind w:left="720"/>
      <w:contextualSpacing/>
    </w:pPr>
  </w:style>
  <w:style w:type="paragraph" w:styleId="Zhlav">
    <w:name w:val="header"/>
    <w:basedOn w:val="Normln"/>
    <w:link w:val="ZhlavChar"/>
    <w:uiPriority w:val="99"/>
    <w:unhideWhenUsed/>
    <w:rsid w:val="009956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56B9"/>
  </w:style>
  <w:style w:type="paragraph" w:styleId="Zpat">
    <w:name w:val="footer"/>
    <w:basedOn w:val="Normln"/>
    <w:link w:val="ZpatChar"/>
    <w:uiPriority w:val="99"/>
    <w:unhideWhenUsed/>
    <w:rsid w:val="009956B9"/>
    <w:pPr>
      <w:tabs>
        <w:tab w:val="center" w:pos="4536"/>
        <w:tab w:val="right" w:pos="9072"/>
      </w:tabs>
      <w:spacing w:after="0" w:line="240" w:lineRule="auto"/>
    </w:pPr>
  </w:style>
  <w:style w:type="character" w:customStyle="1" w:styleId="ZpatChar">
    <w:name w:val="Zápatí Char"/>
    <w:basedOn w:val="Standardnpsmoodstavce"/>
    <w:link w:val="Zpat"/>
    <w:uiPriority w:val="99"/>
    <w:rsid w:val="00995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894218">
      <w:bodyDiv w:val="1"/>
      <w:marLeft w:val="0"/>
      <w:marRight w:val="0"/>
      <w:marTop w:val="0"/>
      <w:marBottom w:val="0"/>
      <w:divBdr>
        <w:top w:val="none" w:sz="0" w:space="0" w:color="auto"/>
        <w:left w:val="none" w:sz="0" w:space="0" w:color="auto"/>
        <w:bottom w:val="none" w:sz="0" w:space="0" w:color="auto"/>
        <w:right w:val="none" w:sz="0" w:space="0" w:color="auto"/>
      </w:divBdr>
      <w:divsChild>
        <w:div w:id="673454710">
          <w:marLeft w:val="0"/>
          <w:marRight w:val="0"/>
          <w:marTop w:val="0"/>
          <w:marBottom w:val="0"/>
          <w:divBdr>
            <w:top w:val="none" w:sz="0" w:space="0" w:color="auto"/>
            <w:left w:val="none" w:sz="0" w:space="0" w:color="auto"/>
            <w:bottom w:val="none" w:sz="0" w:space="0" w:color="auto"/>
            <w:right w:val="none" w:sz="0" w:space="0" w:color="auto"/>
          </w:divBdr>
        </w:div>
        <w:div w:id="1464541475">
          <w:marLeft w:val="0"/>
          <w:marRight w:val="0"/>
          <w:marTop w:val="0"/>
          <w:marBottom w:val="0"/>
          <w:divBdr>
            <w:top w:val="none" w:sz="0" w:space="0" w:color="auto"/>
            <w:left w:val="none" w:sz="0" w:space="0" w:color="auto"/>
            <w:bottom w:val="none" w:sz="0" w:space="0" w:color="auto"/>
            <w:right w:val="none" w:sz="0" w:space="0" w:color="auto"/>
          </w:divBdr>
        </w:div>
        <w:div w:id="1926456140">
          <w:marLeft w:val="0"/>
          <w:marRight w:val="0"/>
          <w:marTop w:val="0"/>
          <w:marBottom w:val="0"/>
          <w:divBdr>
            <w:top w:val="none" w:sz="0" w:space="0" w:color="auto"/>
            <w:left w:val="none" w:sz="0" w:space="0" w:color="auto"/>
            <w:bottom w:val="none" w:sz="0" w:space="0" w:color="auto"/>
            <w:right w:val="none" w:sz="0" w:space="0" w:color="auto"/>
          </w:divBdr>
        </w:div>
        <w:div w:id="752706338">
          <w:marLeft w:val="0"/>
          <w:marRight w:val="0"/>
          <w:marTop w:val="0"/>
          <w:marBottom w:val="0"/>
          <w:divBdr>
            <w:top w:val="none" w:sz="0" w:space="0" w:color="auto"/>
            <w:left w:val="none" w:sz="0" w:space="0" w:color="auto"/>
            <w:bottom w:val="none" w:sz="0" w:space="0" w:color="auto"/>
            <w:right w:val="none" w:sz="0" w:space="0" w:color="auto"/>
          </w:divBdr>
        </w:div>
        <w:div w:id="490948886">
          <w:marLeft w:val="0"/>
          <w:marRight w:val="0"/>
          <w:marTop w:val="0"/>
          <w:marBottom w:val="0"/>
          <w:divBdr>
            <w:top w:val="none" w:sz="0" w:space="0" w:color="auto"/>
            <w:left w:val="none" w:sz="0" w:space="0" w:color="auto"/>
            <w:bottom w:val="none" w:sz="0" w:space="0" w:color="auto"/>
            <w:right w:val="none" w:sz="0" w:space="0" w:color="auto"/>
          </w:divBdr>
        </w:div>
        <w:div w:id="1847788288">
          <w:marLeft w:val="0"/>
          <w:marRight w:val="0"/>
          <w:marTop w:val="0"/>
          <w:marBottom w:val="0"/>
          <w:divBdr>
            <w:top w:val="none" w:sz="0" w:space="0" w:color="auto"/>
            <w:left w:val="none" w:sz="0" w:space="0" w:color="auto"/>
            <w:bottom w:val="none" w:sz="0" w:space="0" w:color="auto"/>
            <w:right w:val="none" w:sz="0" w:space="0" w:color="auto"/>
          </w:divBdr>
        </w:div>
      </w:divsChild>
    </w:div>
    <w:div w:id="1425490788">
      <w:bodyDiv w:val="1"/>
      <w:marLeft w:val="0"/>
      <w:marRight w:val="0"/>
      <w:marTop w:val="0"/>
      <w:marBottom w:val="0"/>
      <w:divBdr>
        <w:top w:val="none" w:sz="0" w:space="0" w:color="auto"/>
        <w:left w:val="none" w:sz="0" w:space="0" w:color="auto"/>
        <w:bottom w:val="none" w:sz="0" w:space="0" w:color="auto"/>
        <w:right w:val="none" w:sz="0" w:space="0" w:color="auto"/>
      </w:divBdr>
      <w:divsChild>
        <w:div w:id="129247589">
          <w:marLeft w:val="0"/>
          <w:marRight w:val="0"/>
          <w:marTop w:val="0"/>
          <w:marBottom w:val="0"/>
          <w:divBdr>
            <w:top w:val="none" w:sz="0" w:space="0" w:color="auto"/>
            <w:left w:val="none" w:sz="0" w:space="0" w:color="auto"/>
            <w:bottom w:val="none" w:sz="0" w:space="0" w:color="auto"/>
            <w:right w:val="none" w:sz="0" w:space="0" w:color="auto"/>
          </w:divBdr>
        </w:div>
        <w:div w:id="1888834058">
          <w:marLeft w:val="0"/>
          <w:marRight w:val="0"/>
          <w:marTop w:val="0"/>
          <w:marBottom w:val="0"/>
          <w:divBdr>
            <w:top w:val="none" w:sz="0" w:space="0" w:color="auto"/>
            <w:left w:val="none" w:sz="0" w:space="0" w:color="auto"/>
            <w:bottom w:val="none" w:sz="0" w:space="0" w:color="auto"/>
            <w:right w:val="none" w:sz="0" w:space="0" w:color="auto"/>
          </w:divBdr>
        </w:div>
        <w:div w:id="980303139">
          <w:marLeft w:val="0"/>
          <w:marRight w:val="0"/>
          <w:marTop w:val="0"/>
          <w:marBottom w:val="0"/>
          <w:divBdr>
            <w:top w:val="none" w:sz="0" w:space="0" w:color="auto"/>
            <w:left w:val="none" w:sz="0" w:space="0" w:color="auto"/>
            <w:bottom w:val="none" w:sz="0" w:space="0" w:color="auto"/>
            <w:right w:val="none" w:sz="0" w:space="0" w:color="auto"/>
          </w:divBdr>
        </w:div>
        <w:div w:id="1149059674">
          <w:marLeft w:val="0"/>
          <w:marRight w:val="0"/>
          <w:marTop w:val="0"/>
          <w:marBottom w:val="0"/>
          <w:divBdr>
            <w:top w:val="none" w:sz="0" w:space="0" w:color="auto"/>
            <w:left w:val="none" w:sz="0" w:space="0" w:color="auto"/>
            <w:bottom w:val="none" w:sz="0" w:space="0" w:color="auto"/>
            <w:right w:val="none" w:sz="0" w:space="0" w:color="auto"/>
          </w:divBdr>
        </w:div>
        <w:div w:id="2140174586">
          <w:marLeft w:val="0"/>
          <w:marRight w:val="0"/>
          <w:marTop w:val="0"/>
          <w:marBottom w:val="0"/>
          <w:divBdr>
            <w:top w:val="none" w:sz="0" w:space="0" w:color="auto"/>
            <w:left w:val="none" w:sz="0" w:space="0" w:color="auto"/>
            <w:bottom w:val="none" w:sz="0" w:space="0" w:color="auto"/>
            <w:right w:val="none" w:sz="0" w:space="0" w:color="auto"/>
          </w:divBdr>
        </w:div>
        <w:div w:id="1395737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699</Words>
  <Characters>4127</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Andrle</dc:creator>
  <cp:keywords/>
  <dc:description/>
  <cp:lastModifiedBy>Jan Andrle</cp:lastModifiedBy>
  <cp:revision>11</cp:revision>
  <cp:lastPrinted>2021-01-11T08:03:00Z</cp:lastPrinted>
  <dcterms:created xsi:type="dcterms:W3CDTF">2021-01-05T12:16:00Z</dcterms:created>
  <dcterms:modified xsi:type="dcterms:W3CDTF">2021-01-12T11:56:00Z</dcterms:modified>
</cp:coreProperties>
</file>